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rFonts w:hint="eastAsia" w:asciiTheme="majorHAnsi" w:hAnsiTheme="majorHAnsi" w:eastAsiaTheme="majorEastAsia" w:cstheme="majorBidi"/>
          <w:b/>
          <w:iCs w:val="0"/>
          <w:smallCaps/>
          <w:spacing w:val="0"/>
          <w:sz w:val="36"/>
          <w:szCs w:val="52"/>
          <w:lang w:val="en-US" w:eastAsia="zh-CN" w:bidi="ar-SA"/>
        </w:rPr>
      </w:pPr>
      <w:r>
        <w:rPr>
          <w:rFonts w:hint="eastAsia" w:asciiTheme="majorHAnsi" w:hAnsiTheme="majorHAnsi" w:eastAsiaTheme="majorEastAsia" w:cstheme="majorBidi"/>
          <w:b/>
          <w:iCs w:val="0"/>
          <w:smallCaps/>
          <w:spacing w:val="0"/>
          <w:sz w:val="36"/>
          <w:szCs w:val="52"/>
          <w:lang w:val="en-US" w:eastAsia="zh-CN" w:bidi="ar-SA"/>
        </w:rPr>
        <w:t>佛山市第二人民医院</w:t>
      </w:r>
    </w:p>
    <w:p>
      <w:pPr>
        <w:pStyle w:val="28"/>
      </w:pPr>
      <w:r>
        <w:rPr>
          <w:rFonts w:hint="eastAsia"/>
        </w:rPr>
        <w:t>肺功能信息化系统维保服务范围及工作内容</w:t>
      </w:r>
    </w:p>
    <w:p>
      <w:pPr>
        <w:pStyle w:val="3"/>
      </w:pPr>
      <w:r>
        <w:rPr>
          <w:rFonts w:hint="eastAsia"/>
        </w:rPr>
        <w:t>维保概述</w:t>
      </w:r>
    </w:p>
    <w:p>
      <w:pPr>
        <w:pStyle w:val="4"/>
      </w:pPr>
      <w:r>
        <w:rPr>
          <w:rFonts w:hint="eastAsia"/>
        </w:rPr>
        <w:t>系统名称</w:t>
      </w:r>
    </w:p>
    <w:p>
      <w:pPr>
        <w:ind w:firstLine="480" w:firstLineChars="200"/>
        <w:rPr>
          <w:rFonts w:hint="eastAsia"/>
        </w:rPr>
      </w:pPr>
      <w:r>
        <w:rPr>
          <w:rFonts w:hint="eastAsia"/>
        </w:rPr>
        <w:t>肺功能信息化系统</w:t>
      </w:r>
    </w:p>
    <w:p>
      <w:pPr>
        <w:pStyle w:val="4"/>
      </w:pPr>
      <w:r>
        <w:rPr>
          <w:rFonts w:hint="eastAsia"/>
        </w:rPr>
        <w:t>维保周期</w:t>
      </w:r>
    </w:p>
    <w:p>
      <w:pPr>
        <w:spacing w:line="360" w:lineRule="auto"/>
        <w:ind w:firstLine="560"/>
        <w:rPr>
          <w:rFonts w:hint="eastAsia"/>
          <w:szCs w:val="24"/>
        </w:rPr>
      </w:pPr>
      <w:r>
        <w:rPr>
          <w:rFonts w:cs="宋体"/>
          <w:szCs w:val="24"/>
        </w:rPr>
        <w:t>自合同签订之日起</w:t>
      </w:r>
      <w:r>
        <w:rPr>
          <w:rFonts w:hint="eastAsia" w:cs="宋体"/>
          <w:szCs w:val="24"/>
        </w:rPr>
        <w:t>3</w:t>
      </w:r>
      <w:r>
        <w:rPr>
          <w:rFonts w:cs="宋体"/>
          <w:szCs w:val="24"/>
        </w:rPr>
        <w:t>年</w:t>
      </w:r>
    </w:p>
    <w:p>
      <w:pPr>
        <w:pStyle w:val="4"/>
      </w:pPr>
      <w:r>
        <w:rPr>
          <w:rFonts w:hint="eastAsia"/>
        </w:rPr>
        <w:t>维保</w:t>
      </w:r>
      <w:r>
        <w:rPr>
          <w:rFonts w:hint="eastAsia"/>
          <w:lang w:val="en-US" w:eastAsia="zh-CN"/>
        </w:rPr>
        <w:t>预算</w:t>
      </w:r>
      <w:r>
        <w:rPr>
          <w:rFonts w:hint="eastAsia"/>
        </w:rPr>
        <w:t>金额</w:t>
      </w:r>
    </w:p>
    <w:p>
      <w:pPr>
        <w:ind w:firstLine="480" w:firstLineChars="200"/>
        <w:rPr>
          <w:rFonts w:hint="eastAsia"/>
        </w:rPr>
      </w:pPr>
      <w:r>
        <w:rPr>
          <w:rFonts w:hint="eastAsia"/>
        </w:rPr>
        <w:t>贰万壹仟陆佰</w:t>
      </w:r>
      <w:r>
        <w:rPr>
          <w:rFonts w:hint="eastAsia"/>
          <w:u w:val="single"/>
        </w:rPr>
        <w:t>元整</w:t>
      </w:r>
      <w:r>
        <w:rPr>
          <w:rFonts w:hint="eastAsia"/>
        </w:rPr>
        <w:t>（¥21600元）。</w:t>
      </w:r>
    </w:p>
    <w:p>
      <w:pPr>
        <w:pStyle w:val="4"/>
      </w:pPr>
      <w:r>
        <w:rPr>
          <w:rFonts w:hint="eastAsia"/>
        </w:rPr>
        <w:t>服务方式</w:t>
      </w:r>
    </w:p>
    <w:p>
      <w:pPr>
        <w:ind w:firstLine="480" w:firstLineChars="200"/>
        <w:rPr>
          <w:rFonts w:hint="eastAsia"/>
        </w:rPr>
      </w:pPr>
      <w:r>
        <w:rPr>
          <w:rFonts w:hint="eastAsia"/>
        </w:rPr>
        <w:t>服务方式包括网络服务、电话服务、远程服务、现场服务，每月至少巡检一次。</w:t>
      </w:r>
    </w:p>
    <w:p>
      <w:pPr>
        <w:pStyle w:val="3"/>
      </w:pPr>
      <w:r>
        <w:rPr>
          <w:rFonts w:hint="eastAsia"/>
        </w:rPr>
        <w:t>维保内容</w:t>
      </w:r>
    </w:p>
    <w:p>
      <w:pPr>
        <w:pStyle w:val="4"/>
      </w:pPr>
      <w:r>
        <w:rPr>
          <w:rFonts w:hint="eastAsia"/>
        </w:rPr>
        <w:t>维保范围</w:t>
      </w:r>
    </w:p>
    <w:tbl>
      <w:tblPr>
        <w:tblStyle w:val="29"/>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376"/>
        <w:gridCol w:w="873"/>
        <w:gridCol w:w="87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1570" w:type="dxa"/>
            <w:shd w:val="clear" w:color="auto" w:fill="D0CECE"/>
            <w:vAlign w:val="center"/>
          </w:tcPr>
          <w:p>
            <w:pPr>
              <w:rPr>
                <w:rFonts w:hint="eastAsia"/>
              </w:rPr>
            </w:pPr>
            <w:r>
              <w:rPr>
                <w:rFonts w:hint="eastAsia"/>
              </w:rPr>
              <w:t>维保项目</w:t>
            </w:r>
          </w:p>
        </w:tc>
        <w:tc>
          <w:tcPr>
            <w:tcW w:w="3376" w:type="dxa"/>
            <w:shd w:val="clear" w:color="auto" w:fill="D0CECE"/>
            <w:vAlign w:val="center"/>
          </w:tcPr>
          <w:p>
            <w:pPr>
              <w:rPr>
                <w:rFonts w:hint="eastAsia"/>
              </w:rPr>
            </w:pPr>
            <w:r>
              <w:rPr>
                <w:rFonts w:hint="eastAsia"/>
              </w:rPr>
              <w:t>维保功能模块</w:t>
            </w:r>
          </w:p>
        </w:tc>
        <w:tc>
          <w:tcPr>
            <w:tcW w:w="873" w:type="dxa"/>
            <w:shd w:val="clear" w:color="auto" w:fill="D0CECE"/>
            <w:vAlign w:val="center"/>
          </w:tcPr>
          <w:p>
            <w:pPr>
              <w:rPr>
                <w:rFonts w:hint="eastAsia"/>
              </w:rPr>
            </w:pPr>
            <w:r>
              <w:rPr>
                <w:rFonts w:hint="eastAsia"/>
              </w:rPr>
              <w:t>数量</w:t>
            </w:r>
          </w:p>
        </w:tc>
        <w:tc>
          <w:tcPr>
            <w:tcW w:w="875" w:type="dxa"/>
            <w:shd w:val="clear" w:color="auto" w:fill="D0CECE"/>
          </w:tcPr>
          <w:p>
            <w:pPr>
              <w:rPr>
                <w:rFonts w:hint="eastAsia"/>
              </w:rPr>
            </w:pPr>
            <w:r>
              <w:rPr>
                <w:rFonts w:hint="eastAsia"/>
              </w:rPr>
              <w:t>单位</w:t>
            </w:r>
          </w:p>
        </w:tc>
        <w:tc>
          <w:tcPr>
            <w:tcW w:w="1829" w:type="dxa"/>
            <w:shd w:val="clear" w:color="auto" w:fill="D0CECE"/>
            <w:vAlign w:val="center"/>
          </w:tcPr>
          <w:p>
            <w:pP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restart"/>
            <w:vAlign w:val="center"/>
          </w:tcPr>
          <w:p>
            <w:pPr>
              <w:rPr>
                <w:rFonts w:hint="eastAsia"/>
              </w:rPr>
            </w:pPr>
            <w:r>
              <w:rPr>
                <w:rFonts w:hint="eastAsia"/>
              </w:rPr>
              <w:t>肺功能信息化系统</w:t>
            </w:r>
          </w:p>
        </w:tc>
        <w:tc>
          <w:tcPr>
            <w:tcW w:w="3376" w:type="dxa"/>
          </w:tcPr>
          <w:p>
            <w:pPr>
              <w:rPr>
                <w:rFonts w:hint="eastAsia"/>
                <w:szCs w:val="21"/>
              </w:rPr>
            </w:pPr>
            <w:r>
              <w:rPr>
                <w:rFonts w:hint="eastAsia"/>
              </w:rPr>
              <w:t>病人信息扫码录入模块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default" w:eastAsia="宋体"/>
                <w:lang w:val="en-US" w:eastAsia="zh-CN"/>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szCs w:val="21"/>
              </w:rPr>
            </w:pPr>
            <w:r>
              <w:rPr>
                <w:rFonts w:hint="eastAsia"/>
              </w:rPr>
              <w:t>肺功能检查报告入HIS模块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szCs w:val="21"/>
              </w:rPr>
            </w:pPr>
            <w:r>
              <w:rPr>
                <w:rFonts w:hint="eastAsia"/>
              </w:rPr>
              <w:t>肺功能定标报告存储模块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权限分级审核模块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数据查询统计模块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趋势分析模块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工作量统计模块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电子签名模块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报告上传模块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问卷调查模块</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rPr>
              <w:t>肺功能报告数据解析模块</w:t>
            </w:r>
          </w:p>
        </w:tc>
        <w:tc>
          <w:tcPr>
            <w:tcW w:w="873" w:type="dxa"/>
            <w:vAlign w:val="center"/>
          </w:tcPr>
          <w:p>
            <w:pPr>
              <w:rPr>
                <w:rFonts w:hint="eastAsia" w:eastAsia="宋体"/>
                <w:lang w:val="en-US" w:eastAsia="zh-CN"/>
              </w:rPr>
            </w:pPr>
            <w:r>
              <w:rPr>
                <w:rFonts w:hint="eastAsia"/>
                <w:lang w:val="en-US" w:eastAsia="zh-CN"/>
              </w:rPr>
              <w:t>1</w:t>
            </w:r>
          </w:p>
        </w:tc>
        <w:tc>
          <w:tcPr>
            <w:tcW w:w="875" w:type="dxa"/>
          </w:tcPr>
          <w:p>
            <w:pPr>
              <w:rPr>
                <w:rFonts w:hint="eastAsia" w:eastAsia="宋体"/>
                <w:lang w:val="en-US" w:eastAsia="zh-CN"/>
              </w:rPr>
            </w:pPr>
            <w:r>
              <w:rPr>
                <w:rFonts w:hint="eastAsia"/>
                <w:lang w:val="en-US" w:eastAsia="zh-CN"/>
              </w:rPr>
              <w:t>个</w:t>
            </w:r>
          </w:p>
        </w:tc>
        <w:tc>
          <w:tcPr>
            <w:tcW w:w="1829" w:type="dxa"/>
            <w:vAlign w:val="center"/>
          </w:tcPr>
          <w:p>
            <w:pPr>
              <w:rPr>
                <w:rFonts w:hint="eastAsia"/>
              </w:rPr>
            </w:pPr>
            <w:r>
              <w:rPr>
                <w:rFonts w:hint="eastAsia"/>
                <w:lang w:val="en-US" w:eastAsia="zh-CN"/>
              </w:rPr>
              <w:t>详见第7页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570" w:type="dxa"/>
            <w:vMerge w:val="continue"/>
            <w:vAlign w:val="center"/>
          </w:tcPr>
          <w:p>
            <w:pPr>
              <w:rPr>
                <w:rFonts w:hint="eastAsia"/>
              </w:rPr>
            </w:pPr>
          </w:p>
        </w:tc>
        <w:tc>
          <w:tcPr>
            <w:tcW w:w="3376" w:type="dxa"/>
          </w:tcPr>
          <w:p>
            <w:pPr>
              <w:rPr>
                <w:rFonts w:hint="eastAsia"/>
              </w:rPr>
            </w:pPr>
            <w:r>
              <w:rPr>
                <w:rFonts w:hint="eastAsia"/>
                <w:lang w:eastAsia="zh-CN"/>
              </w:rPr>
              <w:t>在用</w:t>
            </w:r>
            <w:r>
              <w:rPr>
                <w:rFonts w:hint="eastAsia"/>
              </w:rPr>
              <w:t>申请单接口视图</w:t>
            </w:r>
            <w:r>
              <w:rPr>
                <w:rFonts w:hint="eastAsia"/>
                <w:lang w:val="en-US" w:eastAsia="zh-CN"/>
              </w:rPr>
              <w:t>维护</w:t>
            </w:r>
          </w:p>
        </w:tc>
        <w:tc>
          <w:tcPr>
            <w:tcW w:w="873" w:type="dxa"/>
            <w:vAlign w:val="center"/>
          </w:tcPr>
          <w:p>
            <w:pPr>
              <w:rPr>
                <w:rFonts w:hint="eastAsia"/>
              </w:rPr>
            </w:pPr>
            <w:r>
              <w:rPr>
                <w:rFonts w:hint="eastAsia"/>
              </w:rPr>
              <w:t>1</w:t>
            </w:r>
          </w:p>
        </w:tc>
        <w:tc>
          <w:tcPr>
            <w:tcW w:w="875" w:type="dxa"/>
          </w:tcPr>
          <w:p>
            <w:pPr>
              <w:rPr>
                <w:rFonts w:hint="eastAsia"/>
              </w:rPr>
            </w:pPr>
            <w:r>
              <w:rPr>
                <w:rFonts w:hint="eastAsia"/>
              </w:rPr>
              <w:t>个</w:t>
            </w:r>
          </w:p>
        </w:tc>
        <w:tc>
          <w:tcPr>
            <w:tcW w:w="1829" w:type="dxa"/>
            <w:vAlign w:val="center"/>
          </w:tcPr>
          <w:p>
            <w:pPr>
              <w:rPr>
                <w:rFonts w:hint="eastAsia"/>
              </w:rPr>
            </w:pPr>
            <w:r>
              <w:rPr>
                <w:rFonts w:hint="eastAsia"/>
                <w:lang w:val="en-US" w:eastAsia="zh-CN"/>
              </w:rPr>
              <w:t>详见第7页</w:t>
            </w:r>
          </w:p>
        </w:tc>
      </w:tr>
    </w:tbl>
    <w:p>
      <w:pPr>
        <w:pStyle w:val="4"/>
      </w:pPr>
      <w:r>
        <w:rPr>
          <w:rFonts w:hint="eastAsia"/>
        </w:rPr>
        <w:t>维保内容构成</w:t>
      </w:r>
    </w:p>
    <w:p>
      <w:pPr>
        <w:pStyle w:val="5"/>
      </w:pPr>
      <w:r>
        <w:rPr>
          <w:rFonts w:hint="eastAsia"/>
        </w:rPr>
        <w:t>软件运维服务</w:t>
      </w:r>
    </w:p>
    <w:p>
      <w:pPr>
        <w:pStyle w:val="49"/>
        <w:numPr>
          <w:ilvl w:val="0"/>
          <w:numId w:val="3"/>
        </w:numPr>
      </w:pPr>
      <w:r>
        <w:rPr>
          <w:rFonts w:hint="eastAsia"/>
        </w:rPr>
        <w:t>操作指导：系统电子操作说明手册，可在业务软件上直接打开查看，维保期内每半年更新一次；</w:t>
      </w:r>
    </w:p>
    <w:p>
      <w:pPr>
        <w:pStyle w:val="49"/>
        <w:numPr>
          <w:ilvl w:val="0"/>
          <w:numId w:val="3"/>
        </w:numPr>
      </w:pPr>
      <w:r>
        <w:t>巡检服务：维保期间由原厂认证工程师每季度至少对系统运行状况进行巡检1次，方式可以是远程或现场；在国家法定节假日放假之前</w:t>
      </w:r>
      <w:r>
        <w:rPr>
          <w:rFonts w:hint="eastAsia"/>
          <w:lang w:val="en-US" w:eastAsia="zh-CN"/>
        </w:rPr>
        <w:t>5个工作日内</w:t>
      </w:r>
      <w:r>
        <w:t>需远程或现场巡检1次；每半年现场系统运行状况巡检1次。巡检范围从客户端、应用服务器、数据库服务器全方面检查，巡检报告按甲方格式填写并加盖公司公章，巡检报告要真实有效。每次现场巡检时将之前的纸质巡检报告提交甲方系统主管工程师归档。每半年将零星服务的内容按甲方格式进行汇总并加盖公司公章，生成服务报告；每年度生成年度服务报告。巡检报告、服务报告作为申请维保款项的重要参考依据，每少1份报告扣</w:t>
      </w:r>
      <w:r>
        <w:rPr>
          <w:rFonts w:hint="eastAsia"/>
        </w:rPr>
        <w:t>维保款的</w:t>
      </w:r>
      <w:r>
        <w:t>5%，超过3份</w:t>
      </w:r>
      <w:r>
        <w:rPr>
          <w:rFonts w:hint="eastAsia"/>
        </w:rPr>
        <w:t>（</w:t>
      </w:r>
      <w:r>
        <w:t>含3份</w:t>
      </w:r>
      <w:r>
        <w:rPr>
          <w:rFonts w:hint="eastAsia"/>
        </w:rPr>
        <w:t>）</w:t>
      </w:r>
      <w:r>
        <w:t>报告甲方有权不支付维保款</w:t>
      </w:r>
      <w:r>
        <w:rPr>
          <w:rFonts w:hint="eastAsia"/>
        </w:rPr>
        <w:t>；</w:t>
      </w:r>
    </w:p>
    <w:p>
      <w:pPr>
        <w:pStyle w:val="49"/>
        <w:numPr>
          <w:ilvl w:val="0"/>
          <w:numId w:val="3"/>
        </w:numPr>
      </w:pPr>
      <w:r>
        <w:t>故障排除：软件应用过程中出现功能故障时，协助查找、排除软件故障，保证系统功能正常运行</w:t>
      </w:r>
      <w:r>
        <w:rPr>
          <w:rFonts w:hint="eastAsia"/>
        </w:rPr>
        <w:t>；</w:t>
      </w:r>
    </w:p>
    <w:p>
      <w:pPr>
        <w:pStyle w:val="49"/>
        <w:numPr>
          <w:ilvl w:val="0"/>
          <w:numId w:val="3"/>
        </w:numPr>
      </w:pPr>
      <w:r>
        <w:t>软件更新</w:t>
      </w:r>
      <w:r>
        <w:rPr>
          <w:rFonts w:hint="eastAsia"/>
        </w:rPr>
        <w:t>：对程序</w:t>
      </w:r>
      <w:r>
        <w:t>BUG、程序错误提供定期的修复补丁包服务</w:t>
      </w:r>
      <w:r>
        <w:rPr>
          <w:rFonts w:hint="eastAsia"/>
        </w:rPr>
        <w:t>，</w:t>
      </w:r>
      <w:r>
        <w:t>定期优化软件功能和性能，在公司推出同版本的新升级程序后，对客户系统进行升级</w:t>
      </w:r>
      <w:r>
        <w:rPr>
          <w:rFonts w:hint="eastAsia"/>
        </w:rPr>
        <w:t>；</w:t>
      </w:r>
    </w:p>
    <w:p>
      <w:pPr>
        <w:pStyle w:val="49"/>
        <w:numPr>
          <w:ilvl w:val="0"/>
          <w:numId w:val="3"/>
        </w:numPr>
      </w:pPr>
      <w:r>
        <w:t>日常维护：维保期对系统进行修正性维护、适应性维护、完善性维护、预期性维护</w:t>
      </w:r>
      <w:r>
        <w:rPr>
          <w:rFonts w:hint="eastAsia"/>
        </w:rPr>
        <w:t>，</w:t>
      </w:r>
      <w:r>
        <w:t>每次维护均建立维护记录并归档</w:t>
      </w:r>
      <w:r>
        <w:rPr>
          <w:rFonts w:hint="eastAsia"/>
        </w:rPr>
        <w:t>；</w:t>
      </w:r>
    </w:p>
    <w:p>
      <w:pPr>
        <w:pStyle w:val="49"/>
        <w:numPr>
          <w:ilvl w:val="0"/>
          <w:numId w:val="3"/>
        </w:numPr>
      </w:pPr>
      <w:r>
        <w:t>应急服务：出现紧急情况时，保证在半小时内启动应急服务，协调安排相关工作人员跟进处理相关紧急情况。维保公司有完整的应急方案，并根据医院实际情况进行修订</w:t>
      </w:r>
      <w:r>
        <w:rPr>
          <w:rFonts w:hint="eastAsia"/>
        </w:rPr>
        <w:t>；</w:t>
      </w:r>
    </w:p>
    <w:p>
      <w:pPr>
        <w:pStyle w:val="49"/>
        <w:numPr>
          <w:ilvl w:val="0"/>
          <w:numId w:val="3"/>
        </w:numPr>
      </w:pPr>
      <w:r>
        <w:rPr>
          <w:rFonts w:hint="eastAsia"/>
        </w:rPr>
        <w:t>应用迁移：</w:t>
      </w:r>
      <w:r>
        <w:rPr>
          <w:rFonts w:hint="eastAsia"/>
          <w:szCs w:val="21"/>
        </w:rPr>
        <w:t>协助进行应用迁移，提供必要的支持和指导；</w:t>
      </w:r>
    </w:p>
    <w:p>
      <w:pPr>
        <w:pStyle w:val="49"/>
        <w:numPr>
          <w:ilvl w:val="0"/>
          <w:numId w:val="3"/>
        </w:numPr>
      </w:pPr>
      <w:r>
        <w:t>应急基本流程：出现突发情况</w:t>
      </w:r>
      <w:r>
        <w:rPr>
          <w:rFonts w:hint="eastAsia" w:ascii="宋体" w:hAnsi="宋体"/>
        </w:rPr>
        <w:t>→</w:t>
      </w:r>
      <w:r>
        <w:t>系统主管工程师现场分析原因并处理</w:t>
      </w:r>
      <w:r>
        <w:rPr>
          <w:rFonts w:hint="eastAsia" w:ascii="宋体" w:hAnsi="宋体"/>
        </w:rPr>
        <w:t>→</w:t>
      </w:r>
      <w:r>
        <w:t>如问题未能解决导致系统不能正常使用超过半小时</w:t>
      </w:r>
      <w:r>
        <w:rPr>
          <w:rFonts w:hint="eastAsia" w:ascii="宋体" w:hAnsi="宋体"/>
        </w:rPr>
        <w:t>→</w:t>
      </w:r>
      <w:r>
        <w:t>系统主管工程师评估影响范围</w:t>
      </w:r>
      <w:r>
        <w:rPr>
          <w:rFonts w:hint="eastAsia" w:ascii="宋体" w:hAnsi="宋体"/>
        </w:rPr>
        <w:t>→</w:t>
      </w:r>
      <w:r>
        <w:t>报维保公司技术经理</w:t>
      </w:r>
      <w:r>
        <w:rPr>
          <w:rFonts w:hint="eastAsia" w:ascii="宋体" w:hAnsi="宋体"/>
        </w:rPr>
        <w:t>→</w:t>
      </w:r>
      <w:r>
        <w:t>公司协调工程师协助系统主管工程师处理</w:t>
      </w:r>
      <w:r>
        <w:rPr>
          <w:rFonts w:hint="eastAsia" w:ascii="宋体" w:hAnsi="宋体"/>
        </w:rPr>
        <w:t>→</w:t>
      </w:r>
      <w:r>
        <w:t>问题结束</w:t>
      </w:r>
      <w:r>
        <w:rPr>
          <w:rFonts w:hint="eastAsia" w:ascii="宋体" w:hAnsi="宋体"/>
        </w:rPr>
        <w:t>→</w:t>
      </w:r>
      <w:r>
        <w:t>提交问题处理结果分析报告</w:t>
      </w:r>
      <w:r>
        <w:rPr>
          <w:rFonts w:hint="eastAsia"/>
        </w:rPr>
        <w:t>；</w:t>
      </w:r>
    </w:p>
    <w:p>
      <w:pPr>
        <w:pStyle w:val="49"/>
        <w:numPr>
          <w:ilvl w:val="0"/>
          <w:numId w:val="3"/>
        </w:numPr>
      </w:pPr>
      <w:r>
        <w:t>咨询服务：</w:t>
      </w:r>
      <w:r>
        <w:rPr>
          <w:rFonts w:hint="eastAsia"/>
        </w:rPr>
        <w:t>用户在系统操作过程中的咨询、疑问、建议进行解答；</w:t>
      </w:r>
    </w:p>
    <w:p>
      <w:pPr>
        <w:pStyle w:val="49"/>
        <w:numPr>
          <w:ilvl w:val="0"/>
          <w:numId w:val="3"/>
        </w:numPr>
      </w:pPr>
      <w:r>
        <w:t>维护培训：对</w:t>
      </w:r>
      <w:r>
        <w:rPr>
          <w:rFonts w:hint="eastAsia"/>
        </w:rPr>
        <w:t>业务部门人员及主管系统</w:t>
      </w:r>
      <w:r>
        <w:t>人员，进行系统</w:t>
      </w:r>
      <w:r>
        <w:rPr>
          <w:rFonts w:hint="eastAsia"/>
        </w:rPr>
        <w:t>操作、</w:t>
      </w:r>
      <w:r>
        <w:t>维护培训</w:t>
      </w:r>
      <w:r>
        <w:rPr>
          <w:rFonts w:hint="eastAsia"/>
        </w:rPr>
        <w:t>；</w:t>
      </w:r>
      <w:r>
        <w:t>公司提供系统运行状况检查方案及脚本并负责培训甲方工程师，每半年升级更新内容。</w:t>
      </w:r>
    </w:p>
    <w:p>
      <w:pPr>
        <w:pStyle w:val="49"/>
        <w:numPr>
          <w:ilvl w:val="0"/>
          <w:numId w:val="3"/>
        </w:numPr>
      </w:pPr>
      <w:r>
        <w:rPr>
          <w:rFonts w:hint="eastAsia"/>
        </w:rPr>
        <w:t>维保服务公司需保障系统在多院区稳定运行，支持系统多院区数据互通。</w:t>
      </w:r>
    </w:p>
    <w:p>
      <w:pPr>
        <w:pStyle w:val="49"/>
        <w:numPr>
          <w:ilvl w:val="0"/>
          <w:numId w:val="3"/>
        </w:numPr>
      </w:pPr>
      <w:r>
        <w:rPr>
          <w:rFonts w:hint="eastAsia"/>
        </w:rPr>
        <w:t>授权巡检：在定期开展系统巡检的同时，对承建系统是否存在注册码、加密狗等授权进行巡检，统计授权点数和授权到期日期，并开具盖章证明。</w:t>
      </w:r>
    </w:p>
    <w:p>
      <w:pPr>
        <w:pStyle w:val="5"/>
      </w:pPr>
      <w:r>
        <w:rPr>
          <w:rFonts w:hint="eastAsia"/>
        </w:rPr>
        <w:t>网络安全服务</w:t>
      </w:r>
    </w:p>
    <w:p>
      <w:pPr>
        <w:pStyle w:val="49"/>
        <w:numPr>
          <w:ilvl w:val="0"/>
          <w:numId w:val="4"/>
        </w:numPr>
      </w:pPr>
      <w:r>
        <w:rPr>
          <w:rFonts w:hint="eastAsia"/>
        </w:rPr>
        <w:t>网络安全等级评审：乙方提供的产品应能够符合网络信息安全等保测评要求（需提供证明文件）。免费无条件配合对系统进行网络安全等级评审，对存在问题进行完善修复并达到相关等级；</w:t>
      </w:r>
    </w:p>
    <w:p>
      <w:pPr>
        <w:pStyle w:val="49"/>
        <w:numPr>
          <w:ilvl w:val="0"/>
          <w:numId w:val="4"/>
        </w:numPr>
      </w:pPr>
      <w:r>
        <w:rPr>
          <w:rFonts w:hint="eastAsia"/>
        </w:rPr>
        <w:t>网络安全等级保护要求：乙方必须根据公安机关的时间要求随时免费无条件对本项目中所涉及的设备及系统进行安全漏洞检测和修复，并配合甲方完成日常等级保护检测和漏洞修复工作，以满足通过等级保护验收的要求。免费无条件根据网络安全咨询服务单位提供的方案进行整改；</w:t>
      </w:r>
    </w:p>
    <w:p>
      <w:pPr>
        <w:pStyle w:val="49"/>
        <w:numPr>
          <w:ilvl w:val="0"/>
          <w:numId w:val="4"/>
        </w:numPr>
      </w:pPr>
      <w:r>
        <w:rPr>
          <w:rFonts w:hint="eastAsia"/>
        </w:rPr>
        <w:t>商用密码要求：按照国家相关商用密码应用和管理要求，免费配合相关部门要求的完成商用密码评估及整改工作；</w:t>
      </w:r>
    </w:p>
    <w:p>
      <w:pPr>
        <w:pStyle w:val="49"/>
        <w:numPr>
          <w:ilvl w:val="0"/>
          <w:numId w:val="4"/>
        </w:numPr>
      </w:pPr>
      <w:r>
        <w:rPr>
          <w:rFonts w:hint="eastAsia"/>
        </w:rPr>
        <w:t>安全更新：对网络安全漏洞</w:t>
      </w:r>
      <w:r>
        <w:t>提供修复补丁包服务</w:t>
      </w:r>
      <w:r>
        <w:rPr>
          <w:rFonts w:hint="eastAsia"/>
        </w:rPr>
        <w:t>，</w:t>
      </w:r>
      <w:r>
        <w:t>优化</w:t>
      </w:r>
      <w:r>
        <w:rPr>
          <w:rFonts w:hint="eastAsia"/>
        </w:rPr>
        <w:t>网络安全性能</w:t>
      </w:r>
      <w:r>
        <w:t>，在公司推出同版本的新升级程序后，对客户系统进行升级</w:t>
      </w:r>
      <w:r>
        <w:rPr>
          <w:rFonts w:hint="eastAsia"/>
        </w:rPr>
        <w:t>；</w:t>
      </w:r>
    </w:p>
    <w:p>
      <w:pPr>
        <w:pStyle w:val="49"/>
        <w:numPr>
          <w:ilvl w:val="0"/>
          <w:numId w:val="4"/>
        </w:numPr>
      </w:pPr>
      <w:r>
        <w:rPr>
          <w:rFonts w:hint="eastAsia"/>
        </w:rPr>
        <w:t>渗透测试：每年需要对本公司承建的信息系统进行渗透测试，查找漏洞，出具渗透测试报告</w:t>
      </w:r>
      <w:r>
        <w:t>。</w:t>
      </w:r>
    </w:p>
    <w:p>
      <w:pPr>
        <w:pStyle w:val="5"/>
      </w:pPr>
      <w:r>
        <w:t>接口运维服务</w:t>
      </w:r>
    </w:p>
    <w:p>
      <w:pPr>
        <w:pStyle w:val="49"/>
        <w:numPr>
          <w:ilvl w:val="0"/>
          <w:numId w:val="5"/>
        </w:numPr>
      </w:pPr>
      <w:r>
        <w:t>接口远程处理：提供技术支持以保障系统范围现有接口的稳定运行</w:t>
      </w:r>
      <w:r>
        <w:rPr>
          <w:rFonts w:hint="eastAsia"/>
        </w:rPr>
        <w:t>；</w:t>
      </w:r>
    </w:p>
    <w:p>
      <w:pPr>
        <w:pStyle w:val="49"/>
        <w:numPr>
          <w:ilvl w:val="0"/>
          <w:numId w:val="5"/>
        </w:numPr>
      </w:pPr>
      <w:r>
        <w:t>提供接口解决方案：对于现有接口运行不畅，提供接口解决方案，并积极配合院方进行调整。</w:t>
      </w:r>
    </w:p>
    <w:p>
      <w:pPr>
        <w:pStyle w:val="5"/>
      </w:pPr>
      <w:r>
        <w:t>数据库运维服务</w:t>
      </w:r>
    </w:p>
    <w:p>
      <w:pPr>
        <w:pStyle w:val="49"/>
        <w:numPr>
          <w:ilvl w:val="0"/>
          <w:numId w:val="6"/>
        </w:numPr>
      </w:pPr>
      <w:r>
        <w:t>数据库服务器巡检：提供定期（每季度）到我院与系统主管工程师进行数据库服务器巡检，对现有数据库运行状态进行评估，并反馈评估报告</w:t>
      </w:r>
      <w:r>
        <w:rPr>
          <w:rFonts w:hint="eastAsia"/>
        </w:rPr>
        <w:t>；</w:t>
      </w:r>
    </w:p>
    <w:p>
      <w:pPr>
        <w:pStyle w:val="49"/>
        <w:numPr>
          <w:ilvl w:val="0"/>
          <w:numId w:val="6"/>
        </w:numPr>
      </w:pPr>
      <w:r>
        <w:t>问题日志远程处理：对数据库中产生的问题日志，提供远程查看与指导</w:t>
      </w:r>
      <w:r>
        <w:rPr>
          <w:rFonts w:hint="eastAsia"/>
        </w:rPr>
        <w:t>；</w:t>
      </w:r>
    </w:p>
    <w:p>
      <w:pPr>
        <w:pStyle w:val="49"/>
        <w:numPr>
          <w:ilvl w:val="0"/>
          <w:numId w:val="6"/>
        </w:numPr>
      </w:pPr>
      <w:r>
        <w:t>数据恢复：协助系统主管工程师恢复数据</w:t>
      </w:r>
      <w:r>
        <w:rPr>
          <w:rFonts w:hint="eastAsia"/>
        </w:rPr>
        <w:t>；</w:t>
      </w:r>
    </w:p>
    <w:p>
      <w:pPr>
        <w:pStyle w:val="49"/>
        <w:numPr>
          <w:ilvl w:val="0"/>
          <w:numId w:val="6"/>
        </w:numPr>
      </w:pPr>
      <w:r>
        <w:t>数据调整：协助系统维护人员进行数据调整</w:t>
      </w:r>
      <w:r>
        <w:rPr>
          <w:rFonts w:hint="eastAsia"/>
        </w:rPr>
        <w:t>；</w:t>
      </w:r>
    </w:p>
    <w:p>
      <w:pPr>
        <w:pStyle w:val="49"/>
        <w:numPr>
          <w:ilvl w:val="0"/>
          <w:numId w:val="6"/>
        </w:numPr>
      </w:pPr>
      <w:r>
        <w:rPr>
          <w:rFonts w:hint="eastAsia"/>
        </w:rPr>
        <w:t>数据迁移：</w:t>
      </w:r>
      <w:r>
        <w:rPr>
          <w:rFonts w:hint="eastAsia"/>
          <w:szCs w:val="21"/>
        </w:rPr>
        <w:t>协助进行数据库迁移，提供必要的支持和指导</w:t>
      </w:r>
      <w:r>
        <w:rPr>
          <w:rFonts w:hint="eastAsia"/>
        </w:rPr>
        <w:t>，配合新院区系统进行数据迁移工作</w:t>
      </w:r>
      <w:r>
        <w:rPr>
          <w:rFonts w:hint="eastAsia"/>
          <w:szCs w:val="21"/>
        </w:rPr>
        <w:t>；</w:t>
      </w:r>
    </w:p>
    <w:p>
      <w:pPr>
        <w:pStyle w:val="49"/>
        <w:numPr>
          <w:ilvl w:val="0"/>
          <w:numId w:val="6"/>
        </w:numPr>
      </w:pPr>
      <w:r>
        <w:rPr>
          <w:rFonts w:hint="eastAsia"/>
        </w:rPr>
        <w:t>应急</w:t>
      </w:r>
      <w:r>
        <w:t>服务：系统灾难发生时，导致系统不能正常使用超过半小时，维保公司需承诺立即响应，减少数据损失，降低灾难对整个系统正常运行的影响</w:t>
      </w:r>
      <w:r>
        <w:rPr>
          <w:rFonts w:hint="eastAsia"/>
        </w:rPr>
        <w:t>；</w:t>
      </w:r>
    </w:p>
    <w:p>
      <w:pPr>
        <w:pStyle w:val="49"/>
        <w:numPr>
          <w:ilvl w:val="0"/>
          <w:numId w:val="6"/>
        </w:numPr>
        <w:rPr>
          <w:rFonts w:hint="eastAsia"/>
        </w:rPr>
      </w:pPr>
      <w:r>
        <w:t>问题解答：解答系统及数据库疑难问题</w:t>
      </w:r>
      <w:r>
        <w:rPr>
          <w:rFonts w:hint="eastAsia"/>
        </w:rPr>
        <w:t>。</w:t>
      </w:r>
    </w:p>
    <w:p>
      <w:pPr>
        <w:pStyle w:val="49"/>
        <w:numPr>
          <w:ilvl w:val="0"/>
          <w:numId w:val="0"/>
        </w:numPr>
        <w:ind w:left="480" w:leftChars="0"/>
        <w:rPr>
          <w:rFonts w:hint="eastAsia"/>
        </w:rPr>
      </w:pPr>
    </w:p>
    <w:p>
      <w:pPr>
        <w:pStyle w:val="3"/>
        <w:spacing w:before="0" w:after="0" w:line="360" w:lineRule="auto"/>
        <w:rPr>
          <w:rFonts w:hint="eastAsia" w:ascii="宋体" w:hAnsi="宋体" w:eastAsia="宋体"/>
        </w:rPr>
      </w:pPr>
      <w:r>
        <w:rPr>
          <w:rFonts w:hint="eastAsia" w:ascii="宋体" w:hAnsi="宋体" w:eastAsia="宋体"/>
        </w:rPr>
        <w:t>服务质量</w:t>
      </w:r>
    </w:p>
    <w:p>
      <w:pPr>
        <w:ind w:left="1" w:firstLine="482" w:firstLineChars="200"/>
        <w:rPr>
          <w:rFonts w:hint="default"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（一）服务质量评价</w:t>
      </w:r>
    </w:p>
    <w:p>
      <w:pPr>
        <w:ind w:left="1"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本服务项目将每年对服务商服务成果进行考核扣分，扣分项目如下（基础分为100分）</w:t>
      </w:r>
    </w:p>
    <w:tbl>
      <w:tblPr>
        <w:tblStyle w:val="29"/>
        <w:tblW w:w="8331" w:type="dxa"/>
        <w:jc w:val="center"/>
        <w:tblInd w:w="0" w:type="dxa"/>
        <w:tblLayout w:type="fixed"/>
        <w:tblCellMar>
          <w:top w:w="0" w:type="dxa"/>
          <w:left w:w="108" w:type="dxa"/>
          <w:bottom w:w="0" w:type="dxa"/>
          <w:right w:w="108" w:type="dxa"/>
        </w:tblCellMar>
      </w:tblPr>
      <w:tblGrid>
        <w:gridCol w:w="1226"/>
        <w:gridCol w:w="3391"/>
        <w:gridCol w:w="1836"/>
        <w:gridCol w:w="1878"/>
      </w:tblGrid>
      <w:tr>
        <w:tblPrEx>
          <w:tblLayout w:type="fixed"/>
          <w:tblCellMar>
            <w:top w:w="0" w:type="dxa"/>
            <w:left w:w="108" w:type="dxa"/>
            <w:bottom w:w="0" w:type="dxa"/>
            <w:right w:w="108" w:type="dxa"/>
          </w:tblCellMar>
        </w:tblPrEx>
        <w:trPr>
          <w:trHeight w:val="29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宋体"/>
                <w:sz w:val="24"/>
                <w:szCs w:val="24"/>
              </w:rPr>
            </w:pPr>
            <w:r>
              <w:rPr>
                <w:rFonts w:hint="eastAsia" w:ascii="宋体" w:hAnsi="宋体" w:eastAsia="宋体" w:cs="宋体"/>
                <w:kern w:val="0"/>
                <w:sz w:val="24"/>
                <w:szCs w:val="24"/>
              </w:rPr>
              <w:t>考核项</w:t>
            </w: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firstLine="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考核内容</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left="0" w:leftChars="0" w:firstLine="0" w:firstLineChars="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扣分分值</w:t>
            </w:r>
          </w:p>
        </w:tc>
      </w:tr>
      <w:tr>
        <w:tblPrEx>
          <w:tblLayout w:type="fixed"/>
          <w:tblCellMar>
            <w:top w:w="0" w:type="dxa"/>
            <w:left w:w="108" w:type="dxa"/>
            <w:bottom w:w="0" w:type="dxa"/>
            <w:right w:w="108" w:type="dxa"/>
          </w:tblCellMar>
        </w:tblPrEx>
        <w:trPr>
          <w:trHeight w:val="468" w:hRule="atLeast"/>
          <w:jc w:val="center"/>
        </w:trPr>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jc w:val="both"/>
              <w:rPr>
                <w:rFonts w:hint="eastAsia" w:ascii="宋体" w:hAnsi="宋体" w:eastAsia="宋体" w:cs="宋体"/>
                <w:kern w:val="0"/>
                <w:sz w:val="24"/>
                <w:szCs w:val="24"/>
              </w:rPr>
            </w:pPr>
            <w:r>
              <w:rPr>
                <w:rFonts w:hint="eastAsia" w:ascii="宋体" w:hAnsi="宋体" w:eastAsia="宋体" w:cs="宋体"/>
                <w:sz w:val="24"/>
                <w:szCs w:val="24"/>
              </w:rPr>
              <w:t>故障响应与解决</w:t>
            </w:r>
          </w:p>
        </w:tc>
        <w:tc>
          <w:tcPr>
            <w:tcW w:w="3391" w:type="dxa"/>
            <w:vMerge w:val="restart"/>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default" w:ascii="宋体" w:hAnsi="宋体" w:eastAsia="宋体" w:cs="宋体"/>
                <w:kern w:val="0"/>
                <w:sz w:val="24"/>
                <w:szCs w:val="24"/>
                <w:lang w:val="en-US" w:eastAsia="zh-CN"/>
              </w:rPr>
            </w:pPr>
            <w:r>
              <w:rPr>
                <w:rFonts w:hint="eastAsia" w:cs="宋体"/>
                <w:kern w:val="0"/>
                <w:sz w:val="24"/>
                <w:szCs w:val="24"/>
                <w:lang w:val="en-US" w:eastAsia="zh-CN"/>
              </w:rPr>
              <w:t>系统发生故障不能正常使用，反馈后未能及时解决故障。</w:t>
            </w:r>
          </w:p>
        </w:tc>
        <w:tc>
          <w:tcPr>
            <w:tcW w:w="183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4小时及以上</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扣</w:t>
            </w:r>
            <w:r>
              <w:rPr>
                <w:rFonts w:hint="eastAsia" w:ascii="宋体" w:hAnsi="宋体" w:eastAsia="宋体" w:cs="宋体"/>
                <w:kern w:val="0"/>
                <w:sz w:val="24"/>
                <w:szCs w:val="24"/>
              </w:rPr>
              <w:t>5分/次</w:t>
            </w:r>
          </w:p>
        </w:tc>
      </w:tr>
      <w:tr>
        <w:tblPrEx>
          <w:tblLayout w:type="fixed"/>
          <w:tblCellMar>
            <w:top w:w="0" w:type="dxa"/>
            <w:left w:w="108" w:type="dxa"/>
            <w:bottom w:w="0" w:type="dxa"/>
            <w:right w:w="108" w:type="dxa"/>
          </w:tblCellMar>
        </w:tblPrEx>
        <w:trPr>
          <w:trHeight w:val="468"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rPr>
                <w:rFonts w:hint="eastAsia" w:ascii="宋体" w:hAnsi="宋体" w:eastAsia="宋体" w:cs="宋体"/>
                <w:sz w:val="24"/>
                <w:szCs w:val="24"/>
              </w:rPr>
            </w:pPr>
          </w:p>
        </w:tc>
        <w:tc>
          <w:tcPr>
            <w:tcW w:w="339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rPr>
                <w:rFonts w:hint="eastAsia" w:ascii="宋体" w:hAnsi="宋体" w:eastAsia="宋体" w:cs="宋体"/>
                <w:sz w:val="24"/>
                <w:szCs w:val="24"/>
              </w:rPr>
            </w:pPr>
          </w:p>
        </w:tc>
        <w:tc>
          <w:tcPr>
            <w:tcW w:w="183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2-4小时</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w:t>
            </w:r>
            <w:r>
              <w:rPr>
                <w:rFonts w:hint="eastAsia" w:ascii="宋体" w:hAnsi="宋体" w:eastAsia="宋体" w:cs="宋体"/>
                <w:kern w:val="0"/>
                <w:sz w:val="24"/>
                <w:szCs w:val="24"/>
              </w:rPr>
              <w:t>3分/次</w:t>
            </w:r>
          </w:p>
        </w:tc>
      </w:tr>
      <w:tr>
        <w:tblPrEx>
          <w:tblLayout w:type="fixed"/>
          <w:tblCellMar>
            <w:top w:w="0" w:type="dxa"/>
            <w:left w:w="108" w:type="dxa"/>
            <w:bottom w:w="0" w:type="dxa"/>
            <w:right w:w="108" w:type="dxa"/>
          </w:tblCellMar>
        </w:tblPrEx>
        <w:trPr>
          <w:trHeight w:val="571"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rPr>
                <w:rFonts w:hint="eastAsia" w:ascii="宋体" w:hAnsi="宋体" w:eastAsia="宋体" w:cs="宋体"/>
                <w:kern w:val="0"/>
                <w:sz w:val="24"/>
                <w:szCs w:val="24"/>
                <w:lang w:val="en-US" w:eastAsia="zh-CN"/>
              </w:rPr>
            </w:pPr>
          </w:p>
        </w:tc>
        <w:tc>
          <w:tcPr>
            <w:tcW w:w="339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rPr>
                <w:rFonts w:hint="eastAsia" w:ascii="宋体" w:hAnsi="宋体" w:eastAsia="宋体" w:cs="宋体"/>
                <w:kern w:val="0"/>
                <w:sz w:val="24"/>
                <w:szCs w:val="24"/>
                <w:lang w:val="en-US" w:eastAsia="zh-CN"/>
              </w:rPr>
            </w:pPr>
          </w:p>
        </w:tc>
        <w:tc>
          <w:tcPr>
            <w:tcW w:w="1836"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default" w:ascii="宋体" w:hAnsi="宋体" w:eastAsia="宋体" w:cs="宋体"/>
                <w:kern w:val="0"/>
                <w:sz w:val="24"/>
                <w:szCs w:val="24"/>
                <w:lang w:val="en-US" w:eastAsia="zh-CN"/>
              </w:rPr>
            </w:pPr>
            <w:r>
              <w:rPr>
                <w:rFonts w:hint="eastAsia" w:cs="宋体"/>
                <w:kern w:val="0"/>
                <w:sz w:val="24"/>
                <w:szCs w:val="24"/>
                <w:lang w:val="en-US" w:eastAsia="zh-CN"/>
              </w:rPr>
              <w:t>0.5-2小时</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w:t>
            </w:r>
            <w:r>
              <w:rPr>
                <w:rFonts w:hint="eastAsia" w:ascii="宋体" w:hAnsi="宋体" w:eastAsia="宋体" w:cs="宋体"/>
                <w:kern w:val="0"/>
                <w:sz w:val="24"/>
                <w:szCs w:val="24"/>
              </w:rPr>
              <w:t>1分/次</w:t>
            </w:r>
          </w:p>
        </w:tc>
      </w:tr>
      <w:tr>
        <w:tblPrEx>
          <w:tblLayout w:type="fixed"/>
          <w:tblCellMar>
            <w:top w:w="0" w:type="dxa"/>
            <w:left w:w="108" w:type="dxa"/>
            <w:bottom w:w="0" w:type="dxa"/>
            <w:right w:w="108" w:type="dxa"/>
          </w:tblCellMar>
        </w:tblPrEx>
        <w:trPr>
          <w:trHeight w:val="90" w:hRule="atLeast"/>
          <w:jc w:val="center"/>
        </w:trPr>
        <w:tc>
          <w:tcPr>
            <w:tcW w:w="1226" w:type="dxa"/>
            <w:vMerge w:val="restart"/>
            <w:tcBorders>
              <w:top w:val="single" w:color="auto" w:sz="4" w:space="0"/>
              <w:left w:val="single" w:color="auto" w:sz="4" w:space="0"/>
              <w:bottom w:val="single" w:color="auto" w:sz="4" w:space="0"/>
              <w:right w:val="single" w:color="auto" w:sz="4" w:space="0"/>
            </w:tcBorders>
            <w:noWrap/>
            <w:vAlign w:val="center"/>
          </w:tcPr>
          <w:p>
            <w:pPr>
              <w:widowControl/>
              <w:ind w:left="0" w:leftChars="0" w:firstLine="0" w:firstLineChars="0"/>
              <w:rPr>
                <w:rFonts w:hint="eastAsia" w:ascii="宋体" w:hAnsi="宋体" w:eastAsia="宋体" w:cs="宋体"/>
                <w:kern w:val="0"/>
                <w:sz w:val="24"/>
                <w:szCs w:val="24"/>
              </w:rPr>
            </w:pPr>
            <w:r>
              <w:rPr>
                <w:rFonts w:hint="eastAsia" w:ascii="宋体" w:hAnsi="宋体" w:eastAsia="宋体" w:cs="宋体"/>
                <w:sz w:val="24"/>
                <w:szCs w:val="24"/>
              </w:rPr>
              <w:t>日常运维服务</w:t>
            </w: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未按时</w:t>
            </w:r>
            <w:r>
              <w:t>每季度对系统运行状况进行巡检</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扣1</w:t>
            </w:r>
            <w:r>
              <w:rPr>
                <w:rFonts w:hint="eastAsia" w:ascii="宋体" w:hAnsi="宋体" w:eastAsia="宋体" w:cs="宋体"/>
                <w:kern w:val="0"/>
                <w:sz w:val="24"/>
                <w:szCs w:val="24"/>
              </w:rPr>
              <w:t>分/次</w:t>
            </w:r>
          </w:p>
        </w:tc>
      </w:tr>
      <w:tr>
        <w:tblPrEx>
          <w:tblLayout w:type="fixed"/>
          <w:tblCellMar>
            <w:top w:w="0" w:type="dxa"/>
            <w:left w:w="108" w:type="dxa"/>
            <w:bottom w:w="0" w:type="dxa"/>
            <w:right w:w="108" w:type="dxa"/>
          </w:tblCellMar>
        </w:tblPrEx>
        <w:trPr>
          <w:trHeight w:val="204"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ign w:val="center"/>
          </w:tcPr>
          <w:p>
            <w:pPr>
              <w:widowControl/>
              <w:ind w:firstLine="0"/>
              <w:rPr>
                <w:rFonts w:hint="eastAsia" w:ascii="宋体" w:hAnsi="宋体" w:eastAsia="宋体" w:cs="宋体"/>
                <w:sz w:val="24"/>
                <w:szCs w:val="24"/>
              </w:rPr>
            </w:pP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未按时</w:t>
            </w:r>
            <w:r>
              <w:t>每季度对</w:t>
            </w:r>
            <w:r>
              <w:rPr>
                <w:rFonts w:hint="eastAsia"/>
                <w:lang w:val="en-US" w:eastAsia="zh-CN"/>
              </w:rPr>
              <w:t>数据库</w:t>
            </w:r>
            <w:r>
              <w:t>运行状况进行</w:t>
            </w:r>
            <w:r>
              <w:rPr>
                <w:rFonts w:hint="eastAsia"/>
                <w:lang w:val="en-US" w:eastAsia="zh-CN"/>
              </w:rPr>
              <w:t>巡检</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扣1</w:t>
            </w:r>
            <w:r>
              <w:rPr>
                <w:rFonts w:hint="eastAsia" w:ascii="宋体" w:hAnsi="宋体" w:eastAsia="宋体" w:cs="宋体"/>
                <w:kern w:val="0"/>
                <w:sz w:val="24"/>
                <w:szCs w:val="24"/>
              </w:rPr>
              <w:t>分/次</w:t>
            </w:r>
          </w:p>
        </w:tc>
      </w:tr>
      <w:tr>
        <w:tblPrEx>
          <w:tblLayout w:type="fixed"/>
          <w:tblCellMar>
            <w:top w:w="0" w:type="dxa"/>
            <w:left w:w="108" w:type="dxa"/>
            <w:bottom w:w="0" w:type="dxa"/>
            <w:right w:w="108" w:type="dxa"/>
          </w:tblCellMar>
        </w:tblPrEx>
        <w:trPr>
          <w:trHeight w:val="204" w:hRule="atLeast"/>
          <w:jc w:val="center"/>
        </w:trPr>
        <w:tc>
          <w:tcPr>
            <w:tcW w:w="1226" w:type="dxa"/>
            <w:vMerge w:val="continue"/>
            <w:tcBorders>
              <w:top w:val="single" w:color="auto" w:sz="4" w:space="0"/>
              <w:left w:val="single" w:color="auto" w:sz="4" w:space="0"/>
              <w:bottom w:val="single" w:color="auto" w:sz="4" w:space="0"/>
              <w:right w:val="single" w:color="auto" w:sz="4" w:space="0"/>
            </w:tcBorders>
            <w:noWrap/>
            <w:vAlign w:val="center"/>
          </w:tcPr>
          <w:p>
            <w:pPr>
              <w:widowControl/>
              <w:ind w:firstLine="0"/>
              <w:rPr>
                <w:rFonts w:hint="eastAsia" w:ascii="宋体" w:hAnsi="宋体" w:eastAsia="宋体" w:cs="宋体"/>
                <w:sz w:val="24"/>
                <w:szCs w:val="24"/>
              </w:rPr>
            </w:pP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未按时</w:t>
            </w:r>
            <w:r>
              <w:t>每半年现场系统运行状况巡检</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扣1</w:t>
            </w:r>
            <w:r>
              <w:rPr>
                <w:rFonts w:hint="eastAsia" w:ascii="宋体" w:hAnsi="宋体" w:eastAsia="宋体" w:cs="宋体"/>
                <w:kern w:val="0"/>
                <w:sz w:val="24"/>
                <w:szCs w:val="24"/>
              </w:rPr>
              <w:t>分/次</w:t>
            </w:r>
          </w:p>
        </w:tc>
      </w:tr>
      <w:tr>
        <w:tblPrEx>
          <w:tblLayout w:type="fixed"/>
          <w:tblCellMar>
            <w:top w:w="0" w:type="dxa"/>
            <w:left w:w="108" w:type="dxa"/>
            <w:bottom w:w="0" w:type="dxa"/>
            <w:right w:w="108" w:type="dxa"/>
          </w:tblCellMar>
        </w:tblPrEx>
        <w:trPr>
          <w:trHeight w:val="184" w:hRule="atLeast"/>
          <w:jc w:val="center"/>
        </w:trPr>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default" w:ascii="宋体" w:hAnsi="宋体" w:eastAsia="宋体" w:cs="宋体"/>
                <w:kern w:val="0"/>
                <w:sz w:val="24"/>
                <w:szCs w:val="24"/>
                <w:lang w:val="en-US" w:eastAsia="zh-CN"/>
              </w:rPr>
            </w:pPr>
            <w:r>
              <w:rPr>
                <w:rFonts w:hint="eastAsia"/>
                <w:lang w:val="en-US" w:eastAsia="zh-CN"/>
              </w:rPr>
              <w:t>未在</w:t>
            </w:r>
            <w:r>
              <w:t>国家法定节假日放假之前</w:t>
            </w:r>
            <w:r>
              <w:rPr>
                <w:rFonts w:hint="eastAsia"/>
                <w:lang w:val="en-US" w:eastAsia="zh-CN"/>
              </w:rPr>
              <w:t>5工作日内巡检</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扣1</w:t>
            </w:r>
            <w:r>
              <w:rPr>
                <w:rFonts w:hint="eastAsia" w:ascii="宋体" w:hAnsi="宋体" w:eastAsia="宋体" w:cs="宋体"/>
                <w:kern w:val="0"/>
                <w:sz w:val="24"/>
                <w:szCs w:val="24"/>
              </w:rPr>
              <w:t>分/次</w:t>
            </w:r>
          </w:p>
        </w:tc>
      </w:tr>
      <w:tr>
        <w:tblPrEx>
          <w:tblLayout w:type="fixed"/>
          <w:tblCellMar>
            <w:top w:w="0" w:type="dxa"/>
            <w:left w:w="108" w:type="dxa"/>
            <w:bottom w:w="0" w:type="dxa"/>
            <w:right w:w="108" w:type="dxa"/>
          </w:tblCellMar>
        </w:tblPrEx>
        <w:trPr>
          <w:trHeight w:val="184"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报告规范</w:t>
            </w:r>
          </w:p>
        </w:tc>
        <w:tc>
          <w:tcPr>
            <w:tcW w:w="5227" w:type="dxa"/>
            <w:gridSpan w:val="2"/>
            <w:tcBorders>
              <w:top w:val="single" w:color="auto" w:sz="4" w:space="0"/>
              <w:left w:val="single" w:color="auto" w:sz="4" w:space="0"/>
              <w:bottom w:val="single" w:color="auto" w:sz="4" w:space="0"/>
              <w:right w:val="single" w:color="auto" w:sz="4" w:space="0"/>
            </w:tcBorders>
            <w:vAlign w:val="center"/>
          </w:tcPr>
          <w:p>
            <w:pPr>
              <w:widowControl/>
              <w:ind w:left="0" w:leftChars="0" w:firstLine="0" w:firstLineChars="0"/>
              <w:rPr>
                <w:rFonts w:hint="default"/>
                <w:lang w:val="en-US" w:eastAsia="zh-CN"/>
              </w:rPr>
            </w:pPr>
            <w:r>
              <w:rPr>
                <w:rFonts w:hint="eastAsia"/>
                <w:lang w:val="en-US" w:eastAsia="zh-CN"/>
              </w:rPr>
              <w:t>巡检报告不符合规范</w:t>
            </w:r>
          </w:p>
        </w:tc>
        <w:tc>
          <w:tcPr>
            <w:tcW w:w="1878" w:type="dxa"/>
            <w:tcBorders>
              <w:top w:val="single" w:color="auto" w:sz="4" w:space="0"/>
              <w:left w:val="single" w:color="auto" w:sz="4" w:space="0"/>
              <w:bottom w:val="single" w:color="auto" w:sz="4" w:space="0"/>
              <w:right w:val="single" w:color="auto" w:sz="4" w:space="0"/>
            </w:tcBorders>
            <w:noWrap/>
            <w:vAlign w:val="center"/>
          </w:tcPr>
          <w:p>
            <w:pPr>
              <w:widowControl/>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扣1</w:t>
            </w:r>
            <w:r>
              <w:rPr>
                <w:rFonts w:hint="eastAsia" w:ascii="宋体" w:hAnsi="宋体" w:eastAsia="宋体" w:cs="宋体"/>
                <w:kern w:val="0"/>
                <w:sz w:val="24"/>
                <w:szCs w:val="24"/>
              </w:rPr>
              <w:t>分/</w:t>
            </w:r>
            <w:r>
              <w:rPr>
                <w:rFonts w:hint="eastAsia" w:cs="宋体"/>
                <w:kern w:val="0"/>
                <w:sz w:val="24"/>
                <w:szCs w:val="24"/>
                <w:lang w:val="en-US" w:eastAsia="zh-CN"/>
              </w:rPr>
              <w:t>份</w:t>
            </w:r>
          </w:p>
        </w:tc>
      </w:tr>
    </w:tbl>
    <w:p>
      <w:pPr>
        <w:ind w:firstLine="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基于医院信息安全的维保是一个长期战略性目标，为保证项目稳定，服务商考核评分为90分</w:t>
      </w:r>
      <w:r>
        <w:rPr>
          <w:rFonts w:hint="eastAsia" w:ascii="宋体" w:hAnsi="宋体" w:cs="宋体"/>
          <w:sz w:val="24"/>
          <w:szCs w:val="24"/>
          <w:lang w:eastAsia="zh-CN"/>
        </w:rPr>
        <w:t>及</w:t>
      </w:r>
      <w:r>
        <w:rPr>
          <w:rFonts w:hint="eastAsia" w:ascii="宋体" w:hAnsi="宋体" w:eastAsia="宋体" w:cs="宋体"/>
          <w:sz w:val="24"/>
          <w:szCs w:val="24"/>
        </w:rPr>
        <w:t>以上，可按合同继续执行。</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年度评分</w:t>
      </w:r>
      <w:r>
        <w:rPr>
          <w:rFonts w:hint="eastAsia" w:ascii="宋体" w:hAnsi="宋体" w:cs="宋体"/>
          <w:sz w:val="24"/>
          <w:szCs w:val="24"/>
          <w:lang w:val="en-US" w:eastAsia="zh-CN"/>
        </w:rPr>
        <w:t>89</w:t>
      </w:r>
      <w:r>
        <w:rPr>
          <w:rFonts w:hint="eastAsia" w:ascii="宋体" w:hAnsi="宋体" w:eastAsia="宋体" w:cs="宋体"/>
          <w:sz w:val="24"/>
          <w:szCs w:val="24"/>
        </w:rPr>
        <w:t>分-7</w:t>
      </w:r>
      <w:r>
        <w:rPr>
          <w:rFonts w:hint="eastAsia" w:ascii="宋体" w:hAnsi="宋体" w:cs="宋体"/>
          <w:sz w:val="24"/>
          <w:szCs w:val="24"/>
          <w:lang w:val="en-US" w:eastAsia="zh-CN"/>
        </w:rPr>
        <w:t>0</w:t>
      </w:r>
      <w:r>
        <w:rPr>
          <w:rFonts w:hint="eastAsia" w:ascii="宋体" w:hAnsi="宋体" w:eastAsia="宋体" w:cs="宋体"/>
          <w:sz w:val="24"/>
          <w:szCs w:val="24"/>
        </w:rPr>
        <w:t>分，本院有权决定下一</w:t>
      </w:r>
      <w:r>
        <w:rPr>
          <w:rFonts w:hint="eastAsia" w:cs="宋体"/>
          <w:sz w:val="24"/>
          <w:szCs w:val="24"/>
          <w:lang w:val="en-US" w:eastAsia="zh-CN"/>
        </w:rPr>
        <w:t>年</w:t>
      </w:r>
      <w:r>
        <w:rPr>
          <w:rFonts w:hint="eastAsia" w:ascii="宋体" w:hAnsi="宋体" w:eastAsia="宋体" w:cs="宋体"/>
          <w:sz w:val="24"/>
          <w:szCs w:val="24"/>
          <w:lang w:val="en-US" w:eastAsia="zh-CN"/>
        </w:rPr>
        <w:t>度</w:t>
      </w:r>
      <w:r>
        <w:rPr>
          <w:rFonts w:hint="eastAsia" w:ascii="宋体" w:hAnsi="宋体" w:eastAsia="宋体" w:cs="宋体"/>
          <w:sz w:val="24"/>
          <w:szCs w:val="24"/>
        </w:rPr>
        <w:t>服务合作方向及评分，依据医院实际情况决定是否继续执行合同或合同终止重新招标。</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为保证服务质量，任意</w:t>
      </w:r>
      <w:r>
        <w:rPr>
          <w:rFonts w:hint="eastAsia" w:ascii="宋体" w:hAnsi="宋体" w:eastAsia="宋体" w:cs="宋体"/>
          <w:sz w:val="24"/>
          <w:szCs w:val="24"/>
          <w:lang w:val="en-US" w:eastAsia="zh-CN"/>
        </w:rPr>
        <w:t>季度</w:t>
      </w:r>
      <w:r>
        <w:rPr>
          <w:rFonts w:hint="eastAsia" w:ascii="宋体" w:hAnsi="宋体" w:eastAsia="宋体" w:cs="宋体"/>
          <w:sz w:val="24"/>
          <w:szCs w:val="24"/>
        </w:rPr>
        <w:t>服务考核如服务商得分为70分以下，则自动终止下一</w:t>
      </w:r>
      <w:r>
        <w:rPr>
          <w:rFonts w:hint="eastAsia" w:cs="宋体"/>
          <w:sz w:val="24"/>
          <w:szCs w:val="24"/>
          <w:lang w:val="en-US" w:eastAsia="zh-CN"/>
        </w:rPr>
        <w:t>年</w:t>
      </w:r>
      <w:r>
        <w:rPr>
          <w:rFonts w:hint="eastAsia" w:ascii="宋体" w:hAnsi="宋体" w:eastAsia="宋体" w:cs="宋体"/>
          <w:sz w:val="24"/>
          <w:szCs w:val="24"/>
          <w:lang w:val="en-US" w:eastAsia="zh-CN"/>
        </w:rPr>
        <w:t>度</w:t>
      </w:r>
      <w:r>
        <w:rPr>
          <w:rFonts w:hint="eastAsia" w:ascii="宋体" w:hAnsi="宋体" w:eastAsia="宋体" w:cs="宋体"/>
          <w:sz w:val="24"/>
          <w:szCs w:val="24"/>
        </w:rPr>
        <w:t>服务合作计划，并且重新招标。</w:t>
      </w: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pStyle w:val="49"/>
        <w:numPr>
          <w:ilvl w:val="0"/>
          <w:numId w:val="0"/>
        </w:numPr>
        <w:ind w:left="480" w:leftChars="0"/>
        <w:rPr>
          <w:rFonts w:hint="eastAsia"/>
        </w:rPr>
      </w:pPr>
    </w:p>
    <w:p>
      <w:pPr>
        <w:rPr>
          <w:rFonts w:hint="eastAsia"/>
        </w:rPr>
      </w:pPr>
    </w:p>
    <w:p>
      <w:pPr>
        <w:pStyle w:val="2"/>
        <w:rPr>
          <w:rFonts w:hint="eastAsia"/>
        </w:rPr>
      </w:pPr>
      <w:bookmarkStart w:id="0" w:name="_GoBack"/>
      <w:bookmarkEnd w:id="0"/>
    </w:p>
    <w:p>
      <w:pPr>
        <w:rPr>
          <w:rFonts w:hint="eastAsia"/>
          <w:lang w:val="en-US" w:eastAsia="zh-CN"/>
        </w:rPr>
      </w:pPr>
      <w:r>
        <w:rPr>
          <w:rFonts w:hint="eastAsia"/>
          <w:lang w:val="en-US" w:eastAsia="zh-CN"/>
        </w:rPr>
        <w:t xml:space="preserve">附件一：《系统功能清单》 </w:t>
      </w:r>
    </w:p>
    <w:tbl>
      <w:tblPr>
        <w:tblStyle w:val="29"/>
        <w:tblW w:w="8457"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1725"/>
        <w:gridCol w:w="5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功能名称</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病人信息扫码录入</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通过病人就诊卡号，将病人的基本信息（身高、体重、年龄、性别、出生日期、住院号、家庭住址、电话等）自动录入到肺功能操作系统内，大大提高门诊检查的效率，实现病人基本信息零输入。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肺功能检查报告入 HIS</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测试完成后，一键打印，生成 PDF 报告，并严格按照医嘱，自动与当前检查医嘱对应。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肺功能定标报告存储</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将定标报告进行存储，作为质量控制的依据。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权限分级审核</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操作大夫有自己对应权限的登陆 ID ，分级审核，未经审核的报告不允许传入 HIS ，最大限度保证报告的准确性。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数据查询统计</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对数据库的数据，可通过不同条件查询，精确筛选，具有数据导出权限后，可导出 EXCEL。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趋势分析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针对单病人既往数据，可进行趋势分析，直观看到病人趋势变化。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工作量统计</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可以统计每天、每周、每月的工作量，并导出报表。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电子签名</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对电子报告打印或报告通过审核系统审核后，自动将电子签名签入报告。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报告上传</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电子报告打印后，可生成 PDF 或 JPG 等报告，并自动与医嘱绑定，实现自动报告上传，上传过程无需手工干预。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问卷调查</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系统肺功能检查之前对患者进行肺功能问卷调查。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肺功能报告数据解析</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对肺功能上的报告进行数据解析，提取报告中的患者信息、肺功能数据、肺功能结论，与门诊流水号或住院流水号绑定。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8"/>
                <w:szCs w:val="28"/>
                <w:u w:val="none"/>
                <w:lang w:val="en-US"/>
              </w:rPr>
            </w:pPr>
            <w:r>
              <w:rPr>
                <w:rFonts w:hint="eastAsia" w:cs="宋体"/>
                <w:i w:val="0"/>
                <w:iCs w:val="0"/>
                <w:color w:val="000000"/>
                <w:kern w:val="0"/>
                <w:sz w:val="28"/>
                <w:szCs w:val="28"/>
                <w:u w:val="none"/>
                <w:lang w:val="en-US" w:eastAsia="zh-CN" w:bidi="ar"/>
              </w:rPr>
              <w:t>在用</w:t>
            </w:r>
            <w:r>
              <w:rPr>
                <w:rFonts w:hint="eastAsia" w:ascii="宋体" w:hAnsi="宋体" w:eastAsia="宋体" w:cs="宋体"/>
                <w:i w:val="0"/>
                <w:iCs w:val="0"/>
                <w:color w:val="000000"/>
                <w:kern w:val="0"/>
                <w:sz w:val="28"/>
                <w:szCs w:val="28"/>
                <w:u w:val="none"/>
                <w:lang w:val="en-US" w:eastAsia="zh-CN" w:bidi="ar"/>
              </w:rPr>
              <w:t>申请单接口视图</w:t>
            </w:r>
            <w:r>
              <w:rPr>
                <w:rFonts w:hint="eastAsia" w:cs="宋体"/>
                <w:i w:val="0"/>
                <w:iCs w:val="0"/>
                <w:color w:val="000000"/>
                <w:kern w:val="0"/>
                <w:sz w:val="28"/>
                <w:szCs w:val="28"/>
                <w:u w:val="none"/>
                <w:lang w:val="en-US" w:eastAsia="zh-CN" w:bidi="ar"/>
              </w:rPr>
              <w:t>维护</w:t>
            </w:r>
          </w:p>
        </w:tc>
        <w:tc>
          <w:tcPr>
            <w:tcW w:w="5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通过申请单接口方式，系统从HIS获取患者基本信息（身高、体重、性别、年龄等等），并自动将该类信息自动录入肺功能操作系统内，实现病人信息扫码录入。</w:t>
            </w:r>
          </w:p>
        </w:tc>
      </w:tr>
    </w:tbl>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rPr>
      </w:pPr>
      <w:r>
        <w:rPr>
          <w:rFonts w:hint="eastAsia"/>
          <w:lang w:val="en-US" w:eastAsia="zh-CN"/>
        </w:rPr>
        <w:t>附件二：《巡检报告模版》</w:t>
      </w:r>
    </w:p>
    <w:p>
      <w:pPr>
        <w:rPr>
          <w:rFonts w:hint="eastAsia"/>
        </w:rPr>
      </w:pPr>
    </w:p>
    <w:p>
      <w:pPr>
        <w:rPr>
          <w:rFonts w:hint="eastAsia" w:ascii="宋体" w:hAnsi="宋体" w:eastAsia="宋体" w:cs="宋体"/>
          <w:sz w:val="32"/>
          <w:szCs w:val="32"/>
        </w:rPr>
      </w:pPr>
      <w:r>
        <w:rPr>
          <w:rFonts w:hint="eastAsia" w:ascii="宋体" w:hAnsi="宋体" w:eastAsia="宋体" w:cs="宋体"/>
          <w:sz w:val="32"/>
          <w:szCs w:val="32"/>
        </w:rPr>
        <w:t xml:space="preserve">报告标题：[系统名称]  [巡检周期] </w:t>
      </w:r>
    </w:p>
    <w:p>
      <w:pPr>
        <w:rPr>
          <w:rFonts w:hint="eastAsia" w:ascii="宋体" w:hAnsi="宋体" w:eastAsia="宋体" w:cs="宋体"/>
          <w:sz w:val="32"/>
          <w:szCs w:val="32"/>
        </w:rPr>
      </w:pPr>
      <w:r>
        <w:rPr>
          <w:rFonts w:hint="eastAsia" w:ascii="宋体" w:hAnsi="宋体" w:eastAsia="宋体" w:cs="宋体"/>
          <w:sz w:val="32"/>
          <w:szCs w:val="32"/>
        </w:rPr>
        <w:t>报告编号： [YYYYMMDD-XXX]</w:t>
      </w:r>
    </w:p>
    <w:p>
      <w:pPr>
        <w:rPr>
          <w:rFonts w:hint="eastAsia" w:ascii="宋体" w:hAnsi="宋体" w:eastAsia="宋体" w:cs="宋体"/>
          <w:sz w:val="32"/>
          <w:szCs w:val="32"/>
        </w:rPr>
      </w:pPr>
      <w:r>
        <w:rPr>
          <w:rFonts w:hint="eastAsia" w:ascii="宋体" w:hAnsi="宋体" w:eastAsia="宋体" w:cs="宋体"/>
          <w:sz w:val="32"/>
          <w:szCs w:val="32"/>
        </w:rPr>
        <w:t>巡检日期： [YYYY-MM-DD]</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公司名称：</w:t>
      </w:r>
      <w:r>
        <w:rPr>
          <w:rFonts w:hint="eastAsia" w:ascii="宋体" w:hAnsi="宋体" w:eastAsia="宋体" w:cs="宋体"/>
          <w:sz w:val="32"/>
          <w:szCs w:val="32"/>
        </w:rPr>
        <w:t>[</w:t>
      </w:r>
      <w:r>
        <w:rPr>
          <w:rFonts w:hint="eastAsia" w:ascii="宋体" w:hAnsi="宋体" w:eastAsia="宋体" w:cs="宋体"/>
          <w:sz w:val="32"/>
          <w:szCs w:val="32"/>
          <w:lang w:val="en-US" w:eastAsia="zh-CN"/>
        </w:rPr>
        <w:t>公司名称</w:t>
      </w:r>
      <w:r>
        <w:rPr>
          <w:rFonts w:hint="eastAsia" w:ascii="宋体" w:hAnsi="宋体" w:eastAsia="宋体" w:cs="宋体"/>
          <w:sz w:val="32"/>
          <w:szCs w:val="32"/>
        </w:rPr>
        <w:t>]</w:t>
      </w:r>
    </w:p>
    <w:p>
      <w:pPr>
        <w:rPr>
          <w:rFonts w:hint="eastAsia" w:ascii="宋体" w:hAnsi="宋体" w:eastAsia="宋体" w:cs="宋体"/>
          <w:sz w:val="32"/>
          <w:szCs w:val="32"/>
        </w:rPr>
      </w:pPr>
      <w:r>
        <w:rPr>
          <w:rFonts w:hint="eastAsia" w:ascii="宋体" w:hAnsi="宋体" w:eastAsia="宋体" w:cs="宋体"/>
          <w:sz w:val="32"/>
          <w:szCs w:val="32"/>
        </w:rPr>
        <w:t>巡检人： [姓名]</w:t>
      </w:r>
    </w:p>
    <w:p>
      <w:pPr>
        <w:rPr>
          <w:rFonts w:hint="eastAsia" w:ascii="宋体" w:hAnsi="宋体" w:eastAsia="宋体" w:cs="宋体"/>
          <w:sz w:val="32"/>
          <w:szCs w:val="32"/>
        </w:rPr>
      </w:pPr>
      <w:r>
        <w:rPr>
          <w:rFonts w:hint="eastAsia" w:ascii="宋体" w:hAnsi="宋体" w:eastAsia="宋体" w:cs="宋体"/>
          <w:sz w:val="32"/>
          <w:szCs w:val="32"/>
        </w:rPr>
        <w:t xml:space="preserve">巡检周期： </w:t>
      </w:r>
      <w:r>
        <w:rPr>
          <w:rFonts w:hint="eastAsia" w:ascii="宋体" w:hAnsi="宋体" w:eastAsia="宋体" w:cs="宋体"/>
          <w:sz w:val="32"/>
          <w:szCs w:val="32"/>
          <w:lang w:val="en-US" w:eastAsia="zh-CN"/>
        </w:rPr>
        <w:t>季度</w:t>
      </w:r>
      <w:r>
        <w:rPr>
          <w:rFonts w:hint="eastAsia" w:ascii="宋体" w:hAnsi="宋体" w:eastAsia="宋体" w:cs="宋体"/>
          <w:sz w:val="32"/>
          <w:szCs w:val="32"/>
        </w:rPr>
        <w:t>/</w:t>
      </w:r>
      <w:r>
        <w:rPr>
          <w:rFonts w:hint="eastAsia" w:ascii="宋体" w:hAnsi="宋体" w:eastAsia="宋体" w:cs="宋体"/>
          <w:sz w:val="32"/>
          <w:szCs w:val="32"/>
          <w:lang w:val="en-US" w:eastAsia="zh-CN"/>
        </w:rPr>
        <w:t>半年度</w:t>
      </w:r>
      <w:r>
        <w:rPr>
          <w:rFonts w:hint="eastAsia" w:ascii="宋体" w:hAnsi="宋体" w:eastAsia="宋体" w:cs="宋体"/>
          <w:sz w:val="32"/>
          <w:szCs w:val="32"/>
        </w:rPr>
        <w:t>/</w:t>
      </w:r>
      <w:r>
        <w:rPr>
          <w:rFonts w:hint="eastAsia" w:ascii="宋体" w:hAnsi="宋体" w:eastAsia="宋体" w:cs="宋体"/>
          <w:sz w:val="32"/>
          <w:szCs w:val="32"/>
          <w:lang w:val="en-US" w:eastAsia="zh-CN"/>
        </w:rPr>
        <w:t>年度</w:t>
      </w:r>
      <w:r>
        <w:rPr>
          <w:rFonts w:hint="eastAsia" w:ascii="宋体" w:hAnsi="宋体" w:eastAsia="宋体" w:cs="宋体"/>
          <w:sz w:val="32"/>
          <w:szCs w:val="32"/>
        </w:rPr>
        <w:t>/</w:t>
      </w:r>
      <w:r>
        <w:rPr>
          <w:rFonts w:hint="eastAsia" w:ascii="宋体" w:hAnsi="宋体" w:eastAsia="宋体" w:cs="宋体"/>
          <w:sz w:val="32"/>
          <w:szCs w:val="32"/>
          <w:lang w:val="en-US" w:eastAsia="zh-CN"/>
        </w:rPr>
        <w:t>节假日</w:t>
      </w:r>
      <w:r>
        <w:rPr>
          <w:rFonts w:hint="eastAsia" w:ascii="宋体" w:hAnsi="宋体" w:eastAsia="宋体" w:cs="宋体"/>
          <w:sz w:val="32"/>
          <w:szCs w:val="32"/>
        </w:rPr>
        <w:t>专项</w:t>
      </w:r>
    </w:p>
    <w:p>
      <w:pPr>
        <w:rPr>
          <w:rFonts w:hint="eastAsia"/>
        </w:rPr>
      </w:pPr>
    </w:p>
    <w:p>
      <w:pPr>
        <w:rPr>
          <w:rFonts w:hint="eastAsia"/>
        </w:rPr>
      </w:pPr>
    </w:p>
    <w:p>
      <w:pPr>
        <w:rPr>
          <w:rFonts w:hint="eastAsia"/>
        </w:rPr>
      </w:pPr>
    </w:p>
    <w:p>
      <w:pPr>
        <w:rPr>
          <w:rFonts w:hint="eastAsia"/>
        </w:rPr>
      </w:pPr>
    </w:p>
    <w:p>
      <w:pPr>
        <w:rPr>
          <w:rFonts w:hint="eastAsia"/>
        </w:rPr>
      </w:pPr>
    </w:p>
    <w:p>
      <w:pPr>
        <w:pStyle w:val="3"/>
        <w:keepNext w:val="0"/>
        <w:keepLines w:val="0"/>
        <w:widowControl/>
        <w:numPr>
          <w:ilvl w:val="0"/>
          <w:numId w:val="7"/>
        </w:numPr>
        <w:spacing w:before="0" w:beforeLines="-2147483648" w:beforeAutospacing="0" w:after="0" w:afterLines="-2147483648" w:afterAutospacing="0" w:line="360" w:lineRule="auto"/>
        <w:contextualSpacing/>
        <w:jc w:val="left"/>
        <w:rPr>
          <w:rFonts w:hint="eastAsia" w:ascii="宋体" w:hAnsi="宋体" w:eastAsia="宋体" w:cstheme="majorBidi"/>
          <w:b/>
          <w:smallCaps/>
          <w:spacing w:val="5"/>
          <w:kern w:val="0"/>
          <w:sz w:val="30"/>
          <w:szCs w:val="36"/>
        </w:rPr>
      </w:pPr>
      <w:r>
        <w:rPr>
          <w:rFonts w:hint="eastAsia" w:ascii="宋体" w:hAnsi="宋体" w:eastAsia="宋体" w:cstheme="majorBidi"/>
          <w:b/>
          <w:smallCaps/>
          <w:spacing w:val="5"/>
          <w:kern w:val="0"/>
          <w:sz w:val="30"/>
          <w:szCs w:val="36"/>
        </w:rPr>
        <w:t>执行摘要</w:t>
      </w:r>
    </w:p>
    <w:p>
      <w:pPr>
        <w:rPr>
          <w:rFonts w:hint="eastAsia"/>
          <w:sz w:val="24"/>
          <w:szCs w:val="24"/>
        </w:rPr>
      </w:pPr>
      <w:r>
        <w:rPr>
          <w:rFonts w:hint="eastAsia"/>
          <w:sz w:val="24"/>
          <w:szCs w:val="24"/>
          <w:lang w:val="en-US" w:eastAsia="zh-CN"/>
        </w:rPr>
        <w:t>[以下内容为举例]</w:t>
      </w:r>
    </w:p>
    <w:p>
      <w:pPr>
        <w:rPr>
          <w:rFonts w:hint="eastAsia"/>
          <w:sz w:val="24"/>
          <w:szCs w:val="24"/>
        </w:rPr>
      </w:pPr>
      <w:r>
        <w:rPr>
          <w:rFonts w:hint="eastAsia"/>
          <w:sz w:val="24"/>
          <w:szCs w:val="24"/>
        </w:rPr>
        <w:t>整体健康度评分： [例如：</w:t>
      </w:r>
      <w:r>
        <w:rPr>
          <w:rFonts w:hint="eastAsia"/>
          <w:sz w:val="24"/>
          <w:szCs w:val="24"/>
          <w:lang w:val="en-US" w:eastAsia="zh-CN"/>
        </w:rPr>
        <w:t>红/黄/绿</w:t>
      </w:r>
      <w:r>
        <w:rPr>
          <w:rFonts w:hint="eastAsia"/>
          <w:sz w:val="24"/>
          <w:szCs w:val="24"/>
        </w:rPr>
        <w:t>] （基于下方关键指标综合评定）</w:t>
      </w:r>
    </w:p>
    <w:p>
      <w:pPr>
        <w:numPr>
          <w:ilvl w:val="0"/>
          <w:numId w:val="0"/>
        </w:numPr>
        <w:rPr>
          <w:rFonts w:hint="eastAsia"/>
          <w:sz w:val="24"/>
          <w:szCs w:val="24"/>
        </w:rPr>
      </w:pPr>
      <w:r>
        <w:rPr>
          <w:rFonts w:hint="eastAsia"/>
          <w:sz w:val="24"/>
          <w:szCs w:val="24"/>
        </w:rPr>
        <w:t>核心结论：</w:t>
      </w:r>
    </w:p>
    <w:p>
      <w:pPr>
        <w:rPr>
          <w:rFonts w:hint="eastAsia"/>
          <w:sz w:val="24"/>
          <w:szCs w:val="24"/>
        </w:rPr>
      </w:pPr>
      <w:r>
        <w:rPr>
          <w:rFonts w:hint="eastAsia"/>
          <w:sz w:val="24"/>
          <w:szCs w:val="24"/>
        </w:rPr>
        <w:t>发现严重问题：[数量] 个，需立即处理。</w:t>
      </w:r>
    </w:p>
    <w:p>
      <w:pPr>
        <w:rPr>
          <w:rFonts w:hint="eastAsia"/>
          <w:sz w:val="24"/>
          <w:szCs w:val="24"/>
        </w:rPr>
      </w:pPr>
      <w:r>
        <w:rPr>
          <w:rFonts w:hint="eastAsia"/>
          <w:sz w:val="24"/>
          <w:szCs w:val="24"/>
        </w:rPr>
        <w:t>发现高风险隐患：[数量] 个，需在 [时限] 内制定改进计划。</w:t>
      </w:r>
    </w:p>
    <w:p>
      <w:pPr>
        <w:rPr>
          <w:rFonts w:hint="eastAsia"/>
          <w:sz w:val="24"/>
          <w:szCs w:val="24"/>
        </w:rPr>
      </w:pPr>
      <w:r>
        <w:rPr>
          <w:rFonts w:hint="eastAsia"/>
          <w:sz w:val="24"/>
          <w:szCs w:val="24"/>
        </w:rPr>
        <w:t>发现一般建议：[数量] 个，可优化。</w:t>
      </w:r>
    </w:p>
    <w:p>
      <w:pPr>
        <w:rPr>
          <w:rFonts w:hint="eastAsia"/>
          <w:sz w:val="24"/>
          <w:szCs w:val="24"/>
        </w:rPr>
      </w:pPr>
      <w:r>
        <w:rPr>
          <w:rFonts w:hint="eastAsia"/>
          <w:sz w:val="24"/>
          <w:szCs w:val="24"/>
        </w:rPr>
        <w:t>紧急待办事项：</w:t>
      </w:r>
    </w:p>
    <w:p>
      <w:pPr>
        <w:rPr>
          <w:rFonts w:hint="eastAsia"/>
          <w:sz w:val="28"/>
          <w:szCs w:val="28"/>
        </w:rPr>
      </w:pPr>
      <w:r>
        <w:rPr>
          <w:rFonts w:hint="eastAsia"/>
          <w:sz w:val="24"/>
          <w:szCs w:val="24"/>
        </w:rPr>
        <w:t>[问题简述] - 负责人：[姓名] - 截止日：[YYYY-MM-DD]</w:t>
      </w:r>
    </w:p>
    <w:p>
      <w:pPr>
        <w:rPr>
          <w:rFonts w:hint="eastAsia"/>
        </w:rPr>
      </w:pPr>
    </w:p>
    <w:p>
      <w:pPr>
        <w:rPr>
          <w:rFonts w:hint="eastAsia"/>
        </w:rPr>
      </w:pPr>
    </w:p>
    <w:p>
      <w:pPr>
        <w:pStyle w:val="3"/>
        <w:keepNext w:val="0"/>
        <w:keepLines w:val="0"/>
        <w:widowControl/>
        <w:numPr>
          <w:ilvl w:val="0"/>
          <w:numId w:val="7"/>
        </w:numPr>
        <w:spacing w:before="0" w:beforeLines="-2147483648" w:beforeAutospacing="0" w:after="0" w:afterLines="-2147483648" w:afterAutospacing="0" w:line="360" w:lineRule="auto"/>
        <w:ind w:left="0" w:leftChars="0" w:firstLine="0" w:firstLineChars="0"/>
        <w:contextualSpacing/>
        <w:jc w:val="left"/>
        <w:rPr>
          <w:rFonts w:hint="eastAsia" w:ascii="宋体" w:hAnsi="宋体" w:eastAsia="宋体" w:cstheme="majorBidi"/>
          <w:b/>
          <w:smallCaps/>
          <w:spacing w:val="5"/>
          <w:kern w:val="0"/>
          <w:sz w:val="30"/>
          <w:szCs w:val="36"/>
        </w:rPr>
      </w:pPr>
      <w:r>
        <w:rPr>
          <w:rFonts w:hint="eastAsia" w:ascii="宋体" w:hAnsi="宋体" w:eastAsia="宋体" w:cstheme="majorBidi"/>
          <w:b/>
          <w:smallCaps/>
          <w:spacing w:val="5"/>
          <w:kern w:val="0"/>
          <w:sz w:val="30"/>
          <w:szCs w:val="36"/>
        </w:rPr>
        <w:t>系统</w:t>
      </w:r>
      <w:r>
        <w:rPr>
          <w:rFonts w:hint="eastAsia" w:ascii="宋体" w:hAnsi="宋体" w:eastAsia="宋体" w:cstheme="majorBidi"/>
          <w:b/>
          <w:smallCaps/>
          <w:spacing w:val="5"/>
          <w:kern w:val="0"/>
          <w:sz w:val="30"/>
          <w:szCs w:val="36"/>
          <w:lang w:val="en-US" w:eastAsia="zh-CN"/>
        </w:rPr>
        <w:t>/数据库</w:t>
      </w:r>
      <w:r>
        <w:rPr>
          <w:rFonts w:hint="eastAsia" w:ascii="宋体" w:hAnsi="宋体" w:eastAsia="宋体" w:cstheme="majorBidi"/>
          <w:b/>
          <w:smallCaps/>
          <w:spacing w:val="5"/>
          <w:kern w:val="0"/>
          <w:sz w:val="30"/>
          <w:szCs w:val="36"/>
        </w:rPr>
        <w:t>全景概览</w:t>
      </w:r>
    </w:p>
    <w:p>
      <w:pPr>
        <w:rPr>
          <w:rFonts w:hint="eastAsia"/>
          <w:lang w:val="en-US" w:eastAsia="zh-CN"/>
        </w:rPr>
      </w:pPr>
      <w:r>
        <w:rPr>
          <w:rFonts w:hint="eastAsia"/>
          <w:sz w:val="24"/>
          <w:szCs w:val="24"/>
          <w:lang w:val="en-US" w:eastAsia="zh-CN"/>
        </w:rPr>
        <w:t>[以下内容为举例]</w:t>
      </w:r>
    </w:p>
    <w:tbl>
      <w:tblPr>
        <w:tblStyle w:val="30"/>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55"/>
        <w:gridCol w:w="2023"/>
        <w:gridCol w:w="2142"/>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898"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1555"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系统/模块</w:t>
            </w:r>
          </w:p>
        </w:tc>
        <w:tc>
          <w:tcPr>
            <w:tcW w:w="2023"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健康状态</w:t>
            </w:r>
          </w:p>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（绿/黄/红）</w:t>
            </w:r>
          </w:p>
        </w:tc>
        <w:tc>
          <w:tcPr>
            <w:tcW w:w="2142"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关键指标概览</w:t>
            </w:r>
          </w:p>
        </w:tc>
        <w:tc>
          <w:tcPr>
            <w:tcW w:w="2022"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趋势</w:t>
            </w:r>
          </w:p>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（相比上次）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8"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1</w:t>
            </w:r>
          </w:p>
        </w:tc>
        <w:tc>
          <w:tcPr>
            <w:tcW w:w="1555"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Web应用集群</w:t>
            </w:r>
          </w:p>
        </w:tc>
        <w:tc>
          <w:tcPr>
            <w:tcW w:w="2023"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绿</w:t>
            </w:r>
          </w:p>
        </w:tc>
        <w:tc>
          <w:tcPr>
            <w:tcW w:w="2142" w:type="dxa"/>
            <w:vAlign w:val="center"/>
          </w:tcPr>
          <w:p>
            <w:pPr>
              <w:keepNext w:val="0"/>
              <w:keepLines w:val="0"/>
              <w:widowControl/>
              <w:suppressLineNumbers w:val="0"/>
              <w:snapToGrid w:val="0"/>
              <w:spacing w:before="100" w:after="100" w:line="240" w:lineRule="auto"/>
              <w:ind w:left="0" w:leftChars="0" w:right="0" w:rightChars="0" w:firstLine="0" w:firstLineChars="0"/>
              <w:jc w:val="left"/>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平均CPU：65%</w:t>
            </w:r>
          </w:p>
        </w:tc>
        <w:tc>
          <w:tcPr>
            <w:tcW w:w="2022"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98" w:type="dxa"/>
            <w:vAlign w:val="center"/>
          </w:tcPr>
          <w:p>
            <w:pPr>
              <w:snapToGrid w:val="0"/>
              <w:ind w:left="0" w:leftChars="0" w:right="0" w:rightChars="0" w:firstLine="0" w:firstLineChars="0"/>
              <w:jc w:val="center"/>
              <w:rPr>
                <w:rFonts w:hint="eastAsia" w:ascii="Calibri" w:eastAsia="宋体"/>
                <w:sz w:val="24"/>
                <w:szCs w:val="24"/>
                <w:lang w:val="en-US" w:eastAsia="zh-CN"/>
              </w:rPr>
            </w:pPr>
            <w:r>
              <w:rPr>
                <w:rFonts w:hint="eastAsia" w:ascii="Calibri" w:eastAsia="宋体"/>
                <w:sz w:val="24"/>
                <w:szCs w:val="24"/>
                <w:lang w:val="en-US" w:eastAsia="zh-CN"/>
              </w:rPr>
              <w:t>2</w:t>
            </w:r>
          </w:p>
        </w:tc>
        <w:tc>
          <w:tcPr>
            <w:tcW w:w="1555"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rPr>
            </w:pPr>
            <w:r>
              <w:rPr>
                <w:rFonts w:hint="eastAsia" w:ascii="Calibri" w:eastAsia="宋体"/>
                <w:sz w:val="24"/>
                <w:szCs w:val="24"/>
              </w:rPr>
              <w:t>API服务集群</w:t>
            </w:r>
          </w:p>
        </w:tc>
        <w:tc>
          <w:tcPr>
            <w:tcW w:w="2023"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val="en-US" w:eastAsia="zh-CN"/>
              </w:rPr>
            </w:pPr>
            <w:r>
              <w:rPr>
                <w:rFonts w:hint="eastAsia" w:ascii="Calibri" w:eastAsia="宋体" w:hAnsiTheme="minorEastAsia" w:cstheme="minorEastAsia"/>
                <w:sz w:val="24"/>
                <w:szCs w:val="24"/>
                <w:vertAlign w:val="baseline"/>
                <w:lang w:val="en-US" w:eastAsia="zh-CN"/>
              </w:rPr>
              <w:t>红</w:t>
            </w:r>
          </w:p>
        </w:tc>
        <w:tc>
          <w:tcPr>
            <w:tcW w:w="2142" w:type="dxa"/>
            <w:vAlign w:val="center"/>
          </w:tcPr>
          <w:p>
            <w:pPr>
              <w:snapToGrid w:val="0"/>
              <w:ind w:left="0" w:leftChars="0" w:right="0" w:rightChars="0" w:firstLine="0" w:firstLineChars="0"/>
              <w:jc w:val="left"/>
              <w:rPr>
                <w:rFonts w:hint="eastAsia" w:ascii="Calibri" w:eastAsia="宋体"/>
                <w:sz w:val="24"/>
                <w:szCs w:val="24"/>
              </w:rPr>
            </w:pPr>
            <w:r>
              <w:rPr>
                <w:rFonts w:hint="eastAsia" w:ascii="Calibri" w:eastAsia="宋体"/>
                <w:sz w:val="24"/>
                <w:szCs w:val="24"/>
              </w:rPr>
              <w:t>平均CPU：</w:t>
            </w:r>
            <w:r>
              <w:rPr>
                <w:rFonts w:hint="eastAsia" w:ascii="Calibri" w:eastAsia="宋体"/>
                <w:sz w:val="24"/>
                <w:szCs w:val="24"/>
                <w:lang w:val="en-US" w:eastAsia="zh-CN"/>
              </w:rPr>
              <w:t>99</w:t>
            </w:r>
            <w:r>
              <w:rPr>
                <w:rFonts w:hint="eastAsia" w:ascii="Calibri" w:eastAsia="宋体"/>
                <w:sz w:val="24"/>
                <w:szCs w:val="24"/>
              </w:rPr>
              <w:t>%</w:t>
            </w:r>
          </w:p>
          <w:p>
            <w:pPr>
              <w:snapToGrid w:val="0"/>
              <w:ind w:left="0" w:leftChars="0" w:right="0" w:rightChars="0" w:firstLine="0" w:firstLineChars="0"/>
              <w:jc w:val="left"/>
              <w:rPr>
                <w:rFonts w:hint="default" w:ascii="Calibri" w:eastAsia="宋体"/>
                <w:sz w:val="24"/>
                <w:szCs w:val="24"/>
                <w:lang w:val="en-US" w:eastAsia="zh-CN"/>
              </w:rPr>
            </w:pPr>
            <w:r>
              <w:rPr>
                <w:rFonts w:hint="eastAsia" w:ascii="Calibri" w:eastAsia="宋体"/>
                <w:sz w:val="24"/>
                <w:szCs w:val="24"/>
                <w:lang w:val="en-US" w:eastAsia="zh-CN"/>
              </w:rPr>
              <w:t>内存使用率：99%</w:t>
            </w:r>
          </w:p>
        </w:tc>
        <w:tc>
          <w:tcPr>
            <w:tcW w:w="2022" w:type="dxa"/>
            <w:vAlign w:val="center"/>
          </w:tcPr>
          <w:p>
            <w:pPr>
              <w:snapToGrid w:val="0"/>
              <w:ind w:left="0" w:leftChars="0" w:right="0" w:rightChars="0" w:firstLine="0" w:firstLineChars="0"/>
              <w:jc w:val="center"/>
              <w:rPr>
                <w:rFonts w:hint="default" w:ascii="Calibri" w:eastAsia="宋体" w:hAnsiTheme="minorEastAsia" w:cstheme="minorEastAsia"/>
                <w:sz w:val="24"/>
                <w:szCs w:val="24"/>
                <w:vertAlign w:val="baseline"/>
                <w:lang w:val="en-US" w:eastAsia="zh-CN"/>
              </w:rPr>
            </w:pPr>
            <w:r>
              <w:rPr>
                <w:rFonts w:hint="eastAsia" w:ascii="Calibri" w:eastAsia="宋体" w:hAnsiTheme="minorEastAsia" w:cstheme="minorEastAsia"/>
                <w:sz w:val="24"/>
                <w:szCs w:val="24"/>
                <w:vertAlign w:val="baseline"/>
                <w:lang w:val="en-US" w:eastAsia="zh-CN"/>
              </w:rPr>
              <w:t>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98" w:type="dxa"/>
            <w:vAlign w:val="center"/>
          </w:tcPr>
          <w:p>
            <w:pPr>
              <w:snapToGrid w:val="0"/>
              <w:ind w:left="0" w:leftChars="0" w:right="0" w:rightChars="0" w:firstLine="0" w:firstLineChars="0"/>
              <w:jc w:val="center"/>
              <w:rPr>
                <w:rFonts w:hint="eastAsia" w:ascii="Calibri" w:eastAsia="宋体"/>
                <w:sz w:val="24"/>
                <w:szCs w:val="24"/>
                <w:lang w:val="en-US" w:eastAsia="zh-CN"/>
              </w:rPr>
            </w:pPr>
          </w:p>
        </w:tc>
        <w:tc>
          <w:tcPr>
            <w:tcW w:w="1555"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eastAsia="zh-CN"/>
              </w:rPr>
            </w:pPr>
          </w:p>
        </w:tc>
        <w:tc>
          <w:tcPr>
            <w:tcW w:w="2023"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eastAsia="zh-CN"/>
              </w:rPr>
            </w:pPr>
          </w:p>
        </w:tc>
        <w:tc>
          <w:tcPr>
            <w:tcW w:w="2142" w:type="dxa"/>
            <w:vAlign w:val="center"/>
          </w:tcPr>
          <w:p>
            <w:pPr>
              <w:snapToGrid w:val="0"/>
              <w:ind w:left="0" w:leftChars="0" w:right="0" w:rightChars="0" w:firstLine="0" w:firstLineChars="0"/>
              <w:jc w:val="left"/>
              <w:rPr>
                <w:rFonts w:hint="eastAsia" w:ascii="Calibri" w:eastAsia="宋体" w:hAnsiTheme="minorEastAsia" w:cstheme="minorEastAsia"/>
                <w:sz w:val="24"/>
                <w:szCs w:val="24"/>
                <w:vertAlign w:val="baseline"/>
                <w:lang w:eastAsia="zh-CN"/>
              </w:rPr>
            </w:pPr>
          </w:p>
        </w:tc>
        <w:tc>
          <w:tcPr>
            <w:tcW w:w="2022"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rPr>
            </w:pPr>
          </w:p>
        </w:tc>
      </w:tr>
    </w:tbl>
    <w:p>
      <w:pPr>
        <w:rPr>
          <w:rFonts w:hint="eastAsia"/>
          <w:lang w:val="en-US" w:eastAsia="zh-CN"/>
        </w:rPr>
      </w:pPr>
    </w:p>
    <w:p>
      <w:pPr>
        <w:rPr>
          <w:rFonts w:hint="eastAsia"/>
        </w:rPr>
      </w:pPr>
    </w:p>
    <w:p>
      <w:pPr>
        <w:pStyle w:val="3"/>
        <w:keepNext w:val="0"/>
        <w:keepLines w:val="0"/>
        <w:widowControl/>
        <w:numPr>
          <w:ilvl w:val="0"/>
          <w:numId w:val="7"/>
        </w:numPr>
        <w:spacing w:before="0" w:beforeLines="-2147483648" w:beforeAutospacing="0" w:after="0" w:afterLines="-2147483648" w:afterAutospacing="0" w:line="360" w:lineRule="auto"/>
        <w:ind w:left="0" w:leftChars="0" w:firstLine="0" w:firstLineChars="0"/>
        <w:contextualSpacing/>
        <w:jc w:val="left"/>
        <w:rPr>
          <w:rFonts w:hint="eastAsia" w:ascii="宋体" w:hAnsi="宋体" w:eastAsia="宋体" w:cstheme="majorBidi"/>
          <w:b/>
          <w:smallCaps/>
          <w:spacing w:val="5"/>
          <w:kern w:val="0"/>
          <w:sz w:val="30"/>
          <w:szCs w:val="36"/>
          <w:lang w:val="en-US" w:eastAsia="zh-CN"/>
        </w:rPr>
      </w:pPr>
      <w:r>
        <w:rPr>
          <w:rFonts w:hint="eastAsia" w:ascii="宋体" w:hAnsi="宋体" w:eastAsia="宋体" w:cstheme="majorBidi"/>
          <w:b/>
          <w:smallCaps/>
          <w:spacing w:val="5"/>
          <w:kern w:val="0"/>
          <w:sz w:val="30"/>
          <w:szCs w:val="36"/>
          <w:lang w:val="en-US" w:eastAsia="zh-CN"/>
        </w:rPr>
        <w:t>详细巡检记录</w:t>
      </w:r>
    </w:p>
    <w:p>
      <w:pPr>
        <w:rPr>
          <w:rFonts w:hint="eastAsia"/>
          <w:lang w:val="en-US" w:eastAsia="zh-CN"/>
        </w:rPr>
      </w:pPr>
      <w:r>
        <w:rPr>
          <w:rFonts w:hint="eastAsia"/>
          <w:sz w:val="24"/>
          <w:szCs w:val="24"/>
          <w:lang w:val="en-US" w:eastAsia="zh-CN"/>
        </w:rPr>
        <w:t>[以下内容为举例]</w:t>
      </w:r>
    </w:p>
    <w:p>
      <w:pPr>
        <w:rPr>
          <w:rFonts w:hint="eastAsia"/>
          <w:sz w:val="24"/>
          <w:szCs w:val="24"/>
        </w:rPr>
      </w:pPr>
      <w:r>
        <w:rPr>
          <w:rFonts w:hint="eastAsia"/>
          <w:sz w:val="24"/>
          <w:szCs w:val="24"/>
        </w:rPr>
        <w:t>3.1 数据库层巡检</w:t>
      </w:r>
    </w:p>
    <w:p>
      <w:pPr>
        <w:rPr>
          <w:rFonts w:hint="eastAsia"/>
          <w:sz w:val="24"/>
          <w:szCs w:val="24"/>
        </w:rPr>
      </w:pPr>
      <w:r>
        <w:rPr>
          <w:rFonts w:hint="eastAsia"/>
          <w:sz w:val="24"/>
          <w:szCs w:val="24"/>
        </w:rPr>
        <w:t>可用性与连接：实例状态、连接数（当前/最大）、锁等待情况。</w:t>
      </w:r>
    </w:p>
    <w:p>
      <w:pPr>
        <w:rPr>
          <w:rFonts w:hint="eastAsia"/>
          <w:sz w:val="24"/>
          <w:szCs w:val="24"/>
        </w:rPr>
      </w:pPr>
      <w:r>
        <w:rPr>
          <w:rFonts w:hint="eastAsia"/>
          <w:sz w:val="24"/>
          <w:szCs w:val="24"/>
        </w:rPr>
        <w:t>性能指标：CPU使用率、内存使用率、磁盘IOPS/延迟、慢查询数量及示例、查询缓存命中率（如适用）。</w:t>
      </w:r>
    </w:p>
    <w:p>
      <w:pPr>
        <w:rPr>
          <w:rFonts w:hint="eastAsia"/>
          <w:sz w:val="24"/>
          <w:szCs w:val="24"/>
        </w:rPr>
      </w:pPr>
      <w:r>
        <w:rPr>
          <w:rFonts w:hint="eastAsia"/>
          <w:sz w:val="24"/>
          <w:szCs w:val="24"/>
        </w:rPr>
        <w:t>存储与容量：数据库总大小、表空间使用率、数据文件增长趋势、磁盘剩余空间（预测可用天数）。</w:t>
      </w:r>
    </w:p>
    <w:p>
      <w:pPr>
        <w:rPr>
          <w:rFonts w:hint="eastAsia"/>
          <w:sz w:val="24"/>
          <w:szCs w:val="24"/>
        </w:rPr>
      </w:pPr>
      <w:r>
        <w:rPr>
          <w:rFonts w:hint="eastAsia"/>
          <w:sz w:val="24"/>
          <w:szCs w:val="24"/>
        </w:rPr>
        <w:t>备份与恢复：最近一次备份状态（时间、大小、验证结果）、备份恢复演练记录。</w:t>
      </w:r>
    </w:p>
    <w:p>
      <w:pPr>
        <w:rPr>
          <w:rFonts w:hint="eastAsia"/>
          <w:sz w:val="24"/>
          <w:szCs w:val="24"/>
        </w:rPr>
      </w:pPr>
      <w:r>
        <w:rPr>
          <w:rFonts w:hint="eastAsia"/>
          <w:sz w:val="24"/>
          <w:szCs w:val="24"/>
        </w:rPr>
        <w:t>安全与配置：高危账号审计、密码策略、参数配置审计（对比基线）。</w:t>
      </w:r>
    </w:p>
    <w:p>
      <w:pPr>
        <w:rPr>
          <w:rFonts w:hint="eastAsia"/>
          <w:sz w:val="24"/>
          <w:szCs w:val="24"/>
        </w:rPr>
      </w:pPr>
    </w:p>
    <w:p>
      <w:pPr>
        <w:numPr>
          <w:ilvl w:val="0"/>
          <w:numId w:val="0"/>
        </w:numPr>
        <w:rPr>
          <w:rFonts w:hint="eastAsia"/>
          <w:sz w:val="24"/>
          <w:szCs w:val="24"/>
        </w:rPr>
      </w:pPr>
      <w:r>
        <w:rPr>
          <w:rFonts w:hint="eastAsia"/>
          <w:sz w:val="24"/>
          <w:szCs w:val="24"/>
        </w:rPr>
        <w:t>问题与风险：</w:t>
      </w:r>
    </w:p>
    <w:p>
      <w:pPr>
        <w:rPr>
          <w:rFonts w:hint="eastAsia"/>
          <w:sz w:val="24"/>
          <w:szCs w:val="24"/>
        </w:rPr>
      </w:pPr>
      <w:r>
        <w:rPr>
          <w:rFonts w:hint="eastAsia"/>
          <w:sz w:val="24"/>
          <w:szCs w:val="24"/>
        </w:rPr>
        <w:t>【严重】 慢查询 [SQL示例] 在过去24小时执行了500次，平均耗时5.2秒，消耗了30%的数据库资源。建议：立即优化索引或SQL。</w:t>
      </w:r>
    </w:p>
    <w:p>
      <w:pPr>
        <w:rPr>
          <w:rFonts w:hint="eastAsia"/>
          <w:sz w:val="24"/>
          <w:szCs w:val="24"/>
        </w:rPr>
      </w:pPr>
      <w:r>
        <w:rPr>
          <w:rFonts w:hint="eastAsia"/>
          <w:sz w:val="24"/>
          <w:szCs w:val="24"/>
        </w:rPr>
        <w:t>【风险】 /data 分区按照当前增长速率，预计45天后将写满。建议：一周内制定清理或扩容方案。</w:t>
      </w:r>
    </w:p>
    <w:p>
      <w:pPr>
        <w:rPr>
          <w:rFonts w:hint="eastAsia"/>
          <w:sz w:val="24"/>
          <w:szCs w:val="24"/>
        </w:rPr>
      </w:pPr>
    </w:p>
    <w:p>
      <w:pPr>
        <w:numPr>
          <w:ilvl w:val="0"/>
          <w:numId w:val="0"/>
        </w:numPr>
        <w:rPr>
          <w:rFonts w:hint="eastAsia"/>
          <w:sz w:val="24"/>
          <w:szCs w:val="24"/>
        </w:rPr>
      </w:pPr>
      <w:r>
        <w:rPr>
          <w:rFonts w:hint="eastAsia"/>
          <w:sz w:val="24"/>
          <w:szCs w:val="24"/>
        </w:rPr>
        <w:t>3.2 应用/服务层巡检</w:t>
      </w:r>
    </w:p>
    <w:p>
      <w:pPr>
        <w:rPr>
          <w:rFonts w:hint="eastAsia"/>
          <w:sz w:val="24"/>
          <w:szCs w:val="24"/>
        </w:rPr>
      </w:pPr>
      <w:r>
        <w:rPr>
          <w:rFonts w:hint="eastAsia"/>
          <w:sz w:val="24"/>
          <w:szCs w:val="24"/>
        </w:rPr>
        <w:t>服务状态：所有关键进程/服务状态、端口监听情况。</w:t>
      </w:r>
    </w:p>
    <w:p>
      <w:pPr>
        <w:rPr>
          <w:rFonts w:hint="eastAsia"/>
          <w:sz w:val="24"/>
          <w:szCs w:val="24"/>
        </w:rPr>
      </w:pPr>
      <w:r>
        <w:rPr>
          <w:rFonts w:hint="eastAsia"/>
          <w:sz w:val="24"/>
          <w:szCs w:val="24"/>
        </w:rPr>
        <w:t>资源使用：各节点CPU、内存、负载（Load Average）、线程池使用率。</w:t>
      </w:r>
    </w:p>
    <w:p>
      <w:pPr>
        <w:rPr>
          <w:rFonts w:hint="eastAsia"/>
          <w:sz w:val="24"/>
          <w:szCs w:val="24"/>
        </w:rPr>
      </w:pPr>
      <w:r>
        <w:rPr>
          <w:rFonts w:hint="eastAsia"/>
          <w:sz w:val="24"/>
          <w:szCs w:val="24"/>
        </w:rPr>
        <w:t>业务日志：错误日志（Error/Warning）数量统计、Top错误类型分析、关键业务日志有无异常。</w:t>
      </w:r>
    </w:p>
    <w:p>
      <w:pPr>
        <w:rPr>
          <w:rFonts w:hint="eastAsia"/>
          <w:sz w:val="24"/>
          <w:szCs w:val="24"/>
        </w:rPr>
      </w:pPr>
      <w:r>
        <w:rPr>
          <w:rFonts w:hint="eastAsia"/>
          <w:sz w:val="24"/>
          <w:szCs w:val="24"/>
        </w:rPr>
        <w:t>JVM/运行时：堆内存使用、GC频率与时长、Full GC情况。</w:t>
      </w:r>
    </w:p>
    <w:p>
      <w:pPr>
        <w:rPr>
          <w:rFonts w:hint="eastAsia"/>
          <w:sz w:val="24"/>
          <w:szCs w:val="24"/>
        </w:rPr>
      </w:pPr>
    </w:p>
    <w:p>
      <w:pPr>
        <w:rPr>
          <w:rFonts w:hint="eastAsia"/>
          <w:sz w:val="24"/>
          <w:szCs w:val="24"/>
        </w:rPr>
      </w:pPr>
      <w:r>
        <w:rPr>
          <w:rFonts w:hint="eastAsia"/>
          <w:sz w:val="24"/>
          <w:szCs w:val="24"/>
        </w:rPr>
        <w:t>问题与风险：</w:t>
      </w:r>
    </w:p>
    <w:p>
      <w:pPr>
        <w:rPr>
          <w:rFonts w:hint="eastAsia"/>
          <w:sz w:val="24"/>
          <w:szCs w:val="24"/>
        </w:rPr>
      </w:pPr>
      <w:r>
        <w:rPr>
          <w:rFonts w:hint="eastAsia"/>
          <w:sz w:val="24"/>
          <w:szCs w:val="24"/>
        </w:rPr>
        <w:t>【风险】 API服务节点host-03内存使用率持续高于85%，存在OOM风险。建议：本周内分析内存泄漏或考虑扩容。</w:t>
      </w:r>
    </w:p>
    <w:p>
      <w:pPr>
        <w:rPr>
          <w:rFonts w:hint="eastAsia"/>
          <w:sz w:val="24"/>
          <w:szCs w:val="24"/>
        </w:rPr>
      </w:pPr>
    </w:p>
    <w:p>
      <w:pPr>
        <w:rPr>
          <w:rFonts w:hint="eastAsia"/>
          <w:sz w:val="24"/>
          <w:szCs w:val="24"/>
        </w:rPr>
      </w:pPr>
      <w:r>
        <w:rPr>
          <w:rFonts w:hint="eastAsia"/>
          <w:sz w:val="24"/>
          <w:szCs w:val="24"/>
        </w:rPr>
        <w:t>3.3 操作系统与网络层</w:t>
      </w:r>
    </w:p>
    <w:p>
      <w:pPr>
        <w:rPr>
          <w:rFonts w:hint="eastAsia"/>
          <w:sz w:val="24"/>
          <w:szCs w:val="24"/>
        </w:rPr>
      </w:pPr>
      <w:r>
        <w:rPr>
          <w:rFonts w:hint="eastAsia"/>
          <w:sz w:val="24"/>
          <w:szCs w:val="24"/>
        </w:rPr>
        <w:t>系统资源：全局CPU、内存、磁盘（各分区）使用率、Swap使用情况。</w:t>
      </w:r>
    </w:p>
    <w:p>
      <w:pPr>
        <w:rPr>
          <w:rFonts w:hint="eastAsia"/>
          <w:sz w:val="24"/>
          <w:szCs w:val="24"/>
        </w:rPr>
      </w:pPr>
      <w:r>
        <w:rPr>
          <w:rFonts w:hint="eastAsia"/>
          <w:sz w:val="24"/>
          <w:szCs w:val="24"/>
        </w:rPr>
        <w:t>网络状态：网络流量、TCP连接状态、丢包率（关键节点间）。</w:t>
      </w:r>
    </w:p>
    <w:p>
      <w:pPr>
        <w:rPr>
          <w:rFonts w:hint="eastAsia"/>
          <w:sz w:val="24"/>
          <w:szCs w:val="24"/>
        </w:rPr>
      </w:pPr>
      <w:r>
        <w:rPr>
          <w:rFonts w:hint="eastAsia"/>
          <w:sz w:val="24"/>
          <w:szCs w:val="24"/>
        </w:rPr>
        <w:t>日志文件：系统日志（/var/log/messages等）有无关键报错。</w:t>
      </w:r>
    </w:p>
    <w:p>
      <w:pPr>
        <w:rPr>
          <w:rFonts w:hint="eastAsia"/>
          <w:sz w:val="24"/>
          <w:szCs w:val="24"/>
        </w:rPr>
      </w:pPr>
    </w:p>
    <w:p>
      <w:pPr>
        <w:rPr>
          <w:rFonts w:hint="eastAsia"/>
          <w:sz w:val="24"/>
          <w:szCs w:val="24"/>
        </w:rPr>
      </w:pPr>
      <w:r>
        <w:rPr>
          <w:rFonts w:hint="eastAsia"/>
          <w:sz w:val="24"/>
          <w:szCs w:val="24"/>
        </w:rPr>
        <w:t>3.4 业务层面检查</w:t>
      </w:r>
    </w:p>
    <w:p>
      <w:pPr>
        <w:rPr>
          <w:rFonts w:hint="eastAsia"/>
          <w:sz w:val="24"/>
          <w:szCs w:val="24"/>
        </w:rPr>
      </w:pPr>
      <w:r>
        <w:rPr>
          <w:rFonts w:hint="eastAsia"/>
          <w:sz w:val="24"/>
          <w:szCs w:val="24"/>
        </w:rPr>
        <w:t>核心业务指标：交易成功率、订单量、支付成功率等是否在正常区间波动。</w:t>
      </w:r>
    </w:p>
    <w:p>
      <w:pPr>
        <w:rPr>
          <w:rFonts w:hint="eastAsia"/>
          <w:sz w:val="24"/>
          <w:szCs w:val="24"/>
        </w:rPr>
      </w:pPr>
      <w:r>
        <w:rPr>
          <w:rFonts w:hint="eastAsia"/>
          <w:sz w:val="24"/>
          <w:szCs w:val="24"/>
        </w:rPr>
        <w:t>关键链路监控：从用户登录到下单的主流程各环节是否通畅。</w:t>
      </w:r>
    </w:p>
    <w:p>
      <w:pPr>
        <w:rPr>
          <w:rFonts w:hint="eastAsia"/>
        </w:rPr>
      </w:pPr>
    </w:p>
    <w:p>
      <w:pPr>
        <w:pStyle w:val="3"/>
        <w:keepNext w:val="0"/>
        <w:keepLines w:val="0"/>
        <w:widowControl/>
        <w:numPr>
          <w:ilvl w:val="0"/>
          <w:numId w:val="7"/>
        </w:numPr>
        <w:spacing w:before="0" w:beforeLines="-2147483648" w:beforeAutospacing="0" w:after="0" w:afterLines="-2147483648" w:afterAutospacing="0" w:line="360" w:lineRule="auto"/>
        <w:ind w:left="0" w:leftChars="0" w:firstLine="0" w:firstLineChars="0"/>
        <w:contextualSpacing/>
        <w:jc w:val="left"/>
        <w:rPr>
          <w:rFonts w:hint="eastAsia" w:ascii="宋体" w:hAnsi="宋体" w:eastAsia="宋体" w:cstheme="majorBidi"/>
          <w:b/>
          <w:smallCaps/>
          <w:spacing w:val="5"/>
          <w:kern w:val="0"/>
          <w:sz w:val="30"/>
          <w:szCs w:val="36"/>
          <w:lang w:val="en-US" w:eastAsia="zh-CN"/>
        </w:rPr>
      </w:pPr>
      <w:r>
        <w:rPr>
          <w:rFonts w:hint="eastAsia" w:ascii="宋体" w:hAnsi="宋体" w:eastAsia="宋体" w:cstheme="majorBidi"/>
          <w:b/>
          <w:smallCaps/>
          <w:spacing w:val="5"/>
          <w:kern w:val="0"/>
          <w:sz w:val="30"/>
          <w:szCs w:val="36"/>
          <w:lang w:val="en-US" w:eastAsia="zh-CN"/>
        </w:rPr>
        <w:t>发现的问题与待办事项</w:t>
      </w:r>
    </w:p>
    <w:p>
      <w:pPr>
        <w:numPr>
          <w:ilvl w:val="0"/>
          <w:numId w:val="0"/>
        </w:numPr>
        <w:rPr>
          <w:rFonts w:hint="eastAsia" w:ascii="宋体" w:hAnsi="宋体" w:eastAsia="宋体" w:cstheme="majorBidi"/>
          <w:b w:val="0"/>
          <w:bCs/>
          <w:smallCaps/>
          <w:spacing w:val="5"/>
          <w:kern w:val="0"/>
          <w:sz w:val="24"/>
          <w:szCs w:val="24"/>
          <w:lang w:val="en-US" w:eastAsia="zh-CN"/>
        </w:rPr>
      </w:pPr>
      <w:r>
        <w:rPr>
          <w:rFonts w:hint="eastAsia" w:ascii="宋体" w:hAnsi="宋体" w:eastAsia="宋体" w:cstheme="majorBidi"/>
          <w:b w:val="0"/>
          <w:bCs/>
          <w:smallCaps/>
          <w:spacing w:val="5"/>
          <w:kern w:val="0"/>
          <w:sz w:val="24"/>
          <w:szCs w:val="24"/>
          <w:lang w:val="en-US" w:eastAsia="zh-CN"/>
        </w:rPr>
        <w:t>[以下内容为举例]</w:t>
      </w:r>
    </w:p>
    <w:tbl>
      <w:tblPr>
        <w:tblStyle w:val="30"/>
        <w:tblW w:w="8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46"/>
        <w:gridCol w:w="946"/>
        <w:gridCol w:w="1210"/>
        <w:gridCol w:w="1757"/>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803"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2046"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问题描述</w:t>
            </w:r>
          </w:p>
        </w:tc>
        <w:tc>
          <w:tcPr>
            <w:tcW w:w="946"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严重等级</w:t>
            </w:r>
          </w:p>
        </w:tc>
        <w:tc>
          <w:tcPr>
            <w:tcW w:w="1210"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处理负责人</w:t>
            </w:r>
          </w:p>
        </w:tc>
        <w:tc>
          <w:tcPr>
            <w:tcW w:w="1757"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状态</w:t>
            </w:r>
          </w:p>
        </w:tc>
        <w:tc>
          <w:tcPr>
            <w:tcW w:w="1939"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计划解决日期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03"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1</w:t>
            </w:r>
          </w:p>
        </w:tc>
        <w:tc>
          <w:tcPr>
            <w:tcW w:w="2046" w:type="dxa"/>
            <w:vAlign w:val="center"/>
          </w:tcPr>
          <w:p>
            <w:pPr>
              <w:keepNext w:val="0"/>
              <w:keepLines w:val="0"/>
              <w:widowControl/>
              <w:suppressLineNumbers w:val="0"/>
              <w:snapToGrid w:val="0"/>
              <w:spacing w:before="100" w:after="100" w:line="240" w:lineRule="auto"/>
              <w:ind w:left="0" w:leftChars="0" w:right="0" w:rightChars="0" w:firstLine="0" w:firstLineChars="0"/>
              <w:jc w:val="left"/>
              <w:textAlignment w:val="center"/>
              <w:rPr>
                <w:rFonts w:hint="default" w:ascii="Calibri" w:hAnsi="宋体" w:cs="宋体" w:eastAsiaTheme="minorEastAsia"/>
                <w:i w:val="0"/>
                <w:iCs w:val="0"/>
                <w:color w:val="000000"/>
                <w:kern w:val="0"/>
                <w:sz w:val="24"/>
                <w:szCs w:val="28"/>
                <w:u w:val="none"/>
                <w:lang w:val="en-US" w:eastAsia="zh-CN" w:bidi="ar"/>
              </w:rPr>
            </w:pPr>
            <w:r>
              <w:rPr>
                <w:rFonts w:hint="eastAsia"/>
                <w:sz w:val="24"/>
                <w:szCs w:val="24"/>
              </w:rPr>
              <w:t>数据库慢查询消耗过高资源</w:t>
            </w:r>
            <w:r>
              <w:rPr>
                <w:rFonts w:hint="eastAsia"/>
                <w:sz w:val="24"/>
                <w:szCs w:val="24"/>
                <w:lang w:eastAsia="zh-CN"/>
              </w:rPr>
              <w:t>，</w:t>
            </w:r>
            <w:r>
              <w:rPr>
                <w:rFonts w:hint="eastAsia"/>
                <w:sz w:val="24"/>
                <w:szCs w:val="24"/>
                <w:lang w:val="en-US" w:eastAsia="zh-CN"/>
              </w:rPr>
              <w:t>影响</w:t>
            </w:r>
            <w:r>
              <w:rPr>
                <w:rFonts w:hint="eastAsia"/>
                <w:sz w:val="24"/>
                <w:szCs w:val="24"/>
              </w:rPr>
              <w:t>主数据库</w:t>
            </w:r>
          </w:p>
        </w:tc>
        <w:tc>
          <w:tcPr>
            <w:tcW w:w="946"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default"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严重</w:t>
            </w:r>
          </w:p>
        </w:tc>
        <w:tc>
          <w:tcPr>
            <w:tcW w:w="1210"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ascii="Calibri" w:hAnsi="宋体" w:eastAsia="宋体" w:cs="宋体"/>
                <w:i w:val="0"/>
                <w:iCs w:val="0"/>
                <w:color w:val="000000"/>
                <w:kern w:val="0"/>
                <w:sz w:val="24"/>
                <w:szCs w:val="28"/>
                <w:u w:val="none"/>
                <w:lang w:val="en-US" w:eastAsia="zh-CN" w:bidi="ar"/>
              </w:rPr>
              <w:t>张三</w:t>
            </w:r>
          </w:p>
        </w:tc>
        <w:tc>
          <w:tcPr>
            <w:tcW w:w="1757"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eastAsia" w:ascii="Calibri" w:hAnsi="宋体" w:eastAsia="宋体" w:cs="宋体"/>
                <w:i w:val="0"/>
                <w:iCs w:val="0"/>
                <w:color w:val="000000"/>
                <w:kern w:val="0"/>
                <w:sz w:val="24"/>
                <w:szCs w:val="28"/>
                <w:u w:val="none"/>
                <w:lang w:val="en-US" w:eastAsia="zh-CN" w:bidi="ar"/>
              </w:rPr>
            </w:pPr>
            <w:r>
              <w:rPr>
                <w:rFonts w:hint="eastAsia"/>
                <w:sz w:val="24"/>
                <w:szCs w:val="24"/>
              </w:rPr>
              <w:t>待处理</w:t>
            </w:r>
          </w:p>
        </w:tc>
        <w:tc>
          <w:tcPr>
            <w:tcW w:w="1939" w:type="dxa"/>
            <w:vAlign w:val="center"/>
          </w:tcPr>
          <w:p>
            <w:pPr>
              <w:keepNext w:val="0"/>
              <w:keepLines w:val="0"/>
              <w:widowControl/>
              <w:suppressLineNumbers w:val="0"/>
              <w:snapToGrid w:val="0"/>
              <w:spacing w:before="100" w:after="100" w:line="240" w:lineRule="auto"/>
              <w:ind w:left="0" w:leftChars="0" w:right="0" w:rightChars="0" w:firstLine="0" w:firstLineChars="0"/>
              <w:jc w:val="center"/>
              <w:textAlignment w:val="center"/>
              <w:rPr>
                <w:rFonts w:hint="default" w:eastAsiaTheme="minorEastAsia"/>
                <w:sz w:val="24"/>
                <w:szCs w:val="24"/>
                <w:lang w:val="en-US" w:eastAsia="zh-CN"/>
              </w:rPr>
            </w:pPr>
            <w:r>
              <w:rPr>
                <w:rFonts w:hint="eastAsia"/>
                <w:sz w:val="24"/>
                <w:szCs w:val="24"/>
              </w:rPr>
              <w:t>202</w:t>
            </w:r>
            <w:r>
              <w:rPr>
                <w:rFonts w:hint="eastAsia"/>
                <w:sz w:val="24"/>
                <w:szCs w:val="24"/>
                <w:lang w:val="en-US" w:eastAsia="zh-CN"/>
              </w:rPr>
              <w:t>6</w:t>
            </w:r>
            <w:r>
              <w:rPr>
                <w:rFonts w:hint="eastAsia"/>
                <w:sz w:val="24"/>
                <w:szCs w:val="24"/>
              </w:rPr>
              <w:t>-</w:t>
            </w:r>
            <w:r>
              <w:rPr>
                <w:rFonts w:hint="eastAsia"/>
                <w:sz w:val="24"/>
                <w:szCs w:val="24"/>
                <w:lang w:val="en-US" w:eastAsia="zh-CN"/>
              </w:rPr>
              <w:t>0</w:t>
            </w:r>
            <w:r>
              <w:rPr>
                <w:rFonts w:hint="eastAsia"/>
                <w:sz w:val="24"/>
                <w:szCs w:val="24"/>
              </w:rPr>
              <w:t>1-</w:t>
            </w:r>
            <w:r>
              <w:rPr>
                <w:rFonts w:hint="eastAsia"/>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3" w:type="dxa"/>
            <w:vAlign w:val="center"/>
          </w:tcPr>
          <w:p>
            <w:pPr>
              <w:snapToGrid w:val="0"/>
              <w:ind w:left="0" w:leftChars="0" w:right="0" w:rightChars="0" w:firstLine="0" w:firstLineChars="0"/>
              <w:jc w:val="center"/>
              <w:rPr>
                <w:rFonts w:hint="eastAsia" w:ascii="Calibri" w:eastAsia="宋体"/>
                <w:sz w:val="24"/>
                <w:szCs w:val="24"/>
                <w:lang w:val="en-US" w:eastAsia="zh-CN"/>
              </w:rPr>
            </w:pPr>
            <w:r>
              <w:rPr>
                <w:rFonts w:hint="eastAsia" w:ascii="Calibri" w:eastAsia="宋体"/>
                <w:sz w:val="24"/>
                <w:szCs w:val="24"/>
                <w:lang w:val="en-US" w:eastAsia="zh-CN"/>
              </w:rPr>
              <w:t>2</w:t>
            </w:r>
          </w:p>
        </w:tc>
        <w:tc>
          <w:tcPr>
            <w:tcW w:w="2046" w:type="dxa"/>
            <w:vAlign w:val="center"/>
          </w:tcPr>
          <w:p>
            <w:pPr>
              <w:snapToGrid w:val="0"/>
              <w:ind w:left="0" w:leftChars="0" w:right="0" w:rightChars="0" w:firstLine="0" w:firstLineChars="0"/>
              <w:jc w:val="center"/>
              <w:rPr>
                <w:rFonts w:hint="default" w:ascii="Calibri" w:hAnsiTheme="minorEastAsia" w:eastAsiaTheme="minorEastAsia" w:cstheme="minorEastAsia"/>
                <w:sz w:val="24"/>
                <w:szCs w:val="24"/>
                <w:vertAlign w:val="baseline"/>
                <w:lang w:val="en-US" w:eastAsia="zh-CN"/>
              </w:rPr>
            </w:pPr>
            <w:r>
              <w:rPr>
                <w:rFonts w:hint="eastAsia"/>
                <w:sz w:val="24"/>
                <w:szCs w:val="24"/>
              </w:rPr>
              <w:t>API服务节点内存使用率</w:t>
            </w:r>
            <w:r>
              <w:rPr>
                <w:rFonts w:hint="eastAsia"/>
                <w:sz w:val="24"/>
                <w:szCs w:val="24"/>
                <w:lang w:val="en-US" w:eastAsia="zh-CN"/>
              </w:rPr>
              <w:t>85%</w:t>
            </w:r>
          </w:p>
        </w:tc>
        <w:tc>
          <w:tcPr>
            <w:tcW w:w="946" w:type="dxa"/>
            <w:vAlign w:val="center"/>
          </w:tcPr>
          <w:p>
            <w:pPr>
              <w:snapToGrid w:val="0"/>
              <w:ind w:left="0" w:leftChars="0" w:right="0" w:rightChars="0" w:firstLine="0" w:firstLineChars="0"/>
              <w:jc w:val="center"/>
              <w:rPr>
                <w:rFonts w:hint="default" w:ascii="Calibri" w:eastAsia="宋体" w:hAnsiTheme="minorEastAsia" w:cstheme="minorEastAsia"/>
                <w:sz w:val="24"/>
                <w:szCs w:val="24"/>
                <w:vertAlign w:val="baseline"/>
                <w:lang w:val="en-US" w:eastAsia="zh-CN"/>
              </w:rPr>
            </w:pPr>
            <w:r>
              <w:rPr>
                <w:rFonts w:hint="eastAsia" w:ascii="Calibri" w:eastAsia="宋体" w:hAnsiTheme="minorEastAsia" w:cstheme="minorEastAsia"/>
                <w:sz w:val="24"/>
                <w:szCs w:val="24"/>
                <w:vertAlign w:val="baseline"/>
                <w:lang w:val="en-US" w:eastAsia="zh-CN"/>
              </w:rPr>
              <w:t>一般</w:t>
            </w:r>
          </w:p>
        </w:tc>
        <w:tc>
          <w:tcPr>
            <w:tcW w:w="1210" w:type="dxa"/>
            <w:vAlign w:val="center"/>
          </w:tcPr>
          <w:p>
            <w:pPr>
              <w:snapToGrid w:val="0"/>
              <w:ind w:left="0" w:leftChars="0" w:right="0" w:rightChars="0" w:firstLine="0" w:firstLineChars="0"/>
              <w:jc w:val="center"/>
              <w:rPr>
                <w:rFonts w:hint="eastAsia" w:ascii="Calibri" w:eastAsia="宋体"/>
                <w:sz w:val="24"/>
                <w:szCs w:val="24"/>
                <w:lang w:val="en-US" w:eastAsia="zh-CN"/>
              </w:rPr>
            </w:pPr>
            <w:r>
              <w:rPr>
                <w:rFonts w:hint="eastAsia" w:ascii="Calibri" w:eastAsia="宋体"/>
                <w:sz w:val="24"/>
                <w:szCs w:val="24"/>
                <w:lang w:val="en-US" w:eastAsia="zh-CN"/>
              </w:rPr>
              <w:t>李四</w:t>
            </w:r>
          </w:p>
        </w:tc>
        <w:tc>
          <w:tcPr>
            <w:tcW w:w="1757" w:type="dxa"/>
            <w:vAlign w:val="center"/>
          </w:tcPr>
          <w:p>
            <w:pPr>
              <w:snapToGrid w:val="0"/>
              <w:ind w:left="0" w:leftChars="0" w:right="0" w:rightChars="0" w:firstLine="0" w:firstLineChars="0"/>
              <w:jc w:val="center"/>
              <w:rPr>
                <w:rFonts w:hint="default" w:ascii="Calibri" w:eastAsia="宋体" w:hAnsiTheme="minorEastAsia" w:cstheme="minorEastAsia"/>
                <w:sz w:val="24"/>
                <w:szCs w:val="24"/>
                <w:vertAlign w:val="baseline"/>
                <w:lang w:val="en-US" w:eastAsia="zh-CN"/>
              </w:rPr>
            </w:pPr>
            <w:r>
              <w:rPr>
                <w:rFonts w:hint="eastAsia"/>
                <w:sz w:val="24"/>
                <w:szCs w:val="24"/>
              </w:rPr>
              <w:t>进行中</w:t>
            </w:r>
          </w:p>
        </w:tc>
        <w:tc>
          <w:tcPr>
            <w:tcW w:w="1939" w:type="dxa"/>
            <w:vAlign w:val="center"/>
          </w:tcPr>
          <w:p>
            <w:pPr>
              <w:snapToGrid w:val="0"/>
              <w:ind w:left="0" w:leftChars="0" w:right="0" w:rightChars="0" w:firstLine="0" w:firstLineChars="0"/>
              <w:jc w:val="center"/>
              <w:rPr>
                <w:rFonts w:hint="eastAsia"/>
                <w:sz w:val="24"/>
                <w:szCs w:val="24"/>
              </w:rPr>
            </w:pPr>
            <w:r>
              <w:rPr>
                <w:rFonts w:hint="eastAsia"/>
                <w:sz w:val="24"/>
                <w:szCs w:val="24"/>
              </w:rPr>
              <w:t>202</w:t>
            </w:r>
            <w:r>
              <w:rPr>
                <w:rFonts w:hint="eastAsia"/>
                <w:sz w:val="24"/>
                <w:szCs w:val="24"/>
                <w:lang w:val="en-US" w:eastAsia="zh-CN"/>
              </w:rPr>
              <w:t>6</w:t>
            </w:r>
            <w:r>
              <w:rPr>
                <w:rFonts w:hint="eastAsia"/>
                <w:sz w:val="24"/>
                <w:szCs w:val="24"/>
              </w:rPr>
              <w:t>-</w:t>
            </w:r>
            <w:r>
              <w:rPr>
                <w:rFonts w:hint="eastAsia"/>
                <w:sz w:val="24"/>
                <w:szCs w:val="24"/>
                <w:lang w:val="en-US" w:eastAsia="zh-CN"/>
              </w:rPr>
              <w:t>0</w:t>
            </w:r>
            <w:r>
              <w:rPr>
                <w:rFonts w:hint="eastAsia"/>
                <w:sz w:val="24"/>
                <w:szCs w:val="24"/>
              </w:rPr>
              <w:t>1-</w:t>
            </w:r>
            <w:r>
              <w:rPr>
                <w:rFonts w:hint="eastAsia"/>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03" w:type="dxa"/>
            <w:vAlign w:val="center"/>
          </w:tcPr>
          <w:p>
            <w:pPr>
              <w:snapToGrid w:val="0"/>
              <w:ind w:left="0" w:leftChars="0" w:right="0" w:rightChars="0" w:firstLine="0" w:firstLineChars="0"/>
              <w:jc w:val="center"/>
              <w:rPr>
                <w:rFonts w:hint="default" w:ascii="Calibri" w:eastAsia="宋体"/>
                <w:sz w:val="24"/>
                <w:szCs w:val="24"/>
                <w:lang w:val="en-US" w:eastAsia="zh-CN"/>
              </w:rPr>
            </w:pPr>
            <w:r>
              <w:rPr>
                <w:rFonts w:hint="eastAsia" w:ascii="Calibri" w:eastAsia="宋体"/>
                <w:sz w:val="24"/>
                <w:szCs w:val="24"/>
                <w:lang w:val="en-US" w:eastAsia="zh-CN"/>
              </w:rPr>
              <w:t>3</w:t>
            </w:r>
          </w:p>
        </w:tc>
        <w:tc>
          <w:tcPr>
            <w:tcW w:w="2046"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eastAsia="zh-CN"/>
              </w:rPr>
            </w:pPr>
            <w:r>
              <w:rPr>
                <w:rFonts w:hint="eastAsia"/>
                <w:sz w:val="24"/>
                <w:szCs w:val="24"/>
              </w:rPr>
              <w:t>/data分区容量</w:t>
            </w:r>
            <w:r>
              <w:rPr>
                <w:rFonts w:hint="eastAsia"/>
                <w:sz w:val="24"/>
                <w:szCs w:val="24"/>
                <w:lang w:val="en-US" w:eastAsia="zh-CN"/>
              </w:rPr>
              <w:t>98%</w:t>
            </w:r>
            <w:r>
              <w:rPr>
                <w:rFonts w:hint="eastAsia"/>
                <w:sz w:val="24"/>
                <w:szCs w:val="24"/>
              </w:rPr>
              <w:t>告警</w:t>
            </w:r>
          </w:p>
        </w:tc>
        <w:tc>
          <w:tcPr>
            <w:tcW w:w="946" w:type="dxa"/>
            <w:vAlign w:val="center"/>
          </w:tcPr>
          <w:p>
            <w:pPr>
              <w:snapToGrid w:val="0"/>
              <w:ind w:left="0" w:leftChars="0" w:right="0" w:rightChars="0" w:firstLine="0" w:firstLineChars="0"/>
              <w:jc w:val="center"/>
              <w:rPr>
                <w:rFonts w:hint="default" w:ascii="Calibri" w:eastAsia="宋体" w:hAnsiTheme="minorEastAsia" w:cstheme="minorEastAsia"/>
                <w:sz w:val="24"/>
                <w:szCs w:val="24"/>
                <w:vertAlign w:val="baseline"/>
                <w:lang w:val="en-US" w:eastAsia="zh-CN"/>
              </w:rPr>
            </w:pPr>
            <w:r>
              <w:rPr>
                <w:rFonts w:hint="eastAsia" w:ascii="Calibri" w:eastAsia="宋体" w:hAnsiTheme="minorEastAsia" w:cstheme="minorEastAsia"/>
                <w:sz w:val="24"/>
                <w:szCs w:val="24"/>
                <w:vertAlign w:val="baseline"/>
                <w:lang w:val="en-US" w:eastAsia="zh-CN"/>
              </w:rPr>
              <w:t>严重</w:t>
            </w:r>
          </w:p>
        </w:tc>
        <w:tc>
          <w:tcPr>
            <w:tcW w:w="1210" w:type="dxa"/>
            <w:vAlign w:val="center"/>
          </w:tcPr>
          <w:p>
            <w:pPr>
              <w:snapToGrid w:val="0"/>
              <w:ind w:left="0" w:leftChars="0" w:right="0" w:rightChars="0" w:firstLine="0" w:firstLineChars="0"/>
              <w:jc w:val="center"/>
              <w:rPr>
                <w:rFonts w:hint="default" w:ascii="Calibri" w:eastAsia="宋体" w:hAnsiTheme="minorEastAsia" w:cstheme="minorEastAsia"/>
                <w:sz w:val="24"/>
                <w:szCs w:val="24"/>
                <w:vertAlign w:val="baseline"/>
                <w:lang w:val="en-US" w:eastAsia="zh-CN"/>
              </w:rPr>
            </w:pPr>
            <w:r>
              <w:rPr>
                <w:rFonts w:hint="eastAsia" w:ascii="Calibri" w:eastAsia="宋体" w:hAnsiTheme="minorEastAsia" w:cstheme="minorEastAsia"/>
                <w:sz w:val="24"/>
                <w:szCs w:val="24"/>
                <w:vertAlign w:val="baseline"/>
                <w:lang w:val="en-US" w:eastAsia="zh-CN"/>
              </w:rPr>
              <w:t>王五</w:t>
            </w:r>
          </w:p>
        </w:tc>
        <w:tc>
          <w:tcPr>
            <w:tcW w:w="1757"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rPr>
            </w:pPr>
            <w:r>
              <w:rPr>
                <w:rFonts w:hint="eastAsia"/>
                <w:sz w:val="24"/>
                <w:szCs w:val="24"/>
              </w:rPr>
              <w:t>已解决</w:t>
            </w:r>
          </w:p>
        </w:tc>
        <w:tc>
          <w:tcPr>
            <w:tcW w:w="1939" w:type="dxa"/>
            <w:vAlign w:val="center"/>
          </w:tcPr>
          <w:p>
            <w:pPr>
              <w:snapToGrid w:val="0"/>
              <w:ind w:left="0" w:leftChars="0" w:right="0" w:rightChars="0" w:firstLine="0" w:firstLineChars="0"/>
              <w:jc w:val="center"/>
              <w:rPr>
                <w:rFonts w:hint="eastAsia"/>
                <w:sz w:val="24"/>
                <w:szCs w:val="24"/>
              </w:rPr>
            </w:pPr>
            <w:r>
              <w:rPr>
                <w:rFonts w:hint="eastAsia"/>
                <w:sz w:val="24"/>
                <w:szCs w:val="24"/>
              </w:rPr>
              <w:t>202</w:t>
            </w:r>
            <w:r>
              <w:rPr>
                <w:rFonts w:hint="eastAsia"/>
                <w:sz w:val="24"/>
                <w:szCs w:val="24"/>
                <w:lang w:val="en-US" w:eastAsia="zh-CN"/>
              </w:rPr>
              <w:t>6</w:t>
            </w:r>
            <w:r>
              <w:rPr>
                <w:rFonts w:hint="eastAsia"/>
                <w:sz w:val="24"/>
                <w:szCs w:val="24"/>
              </w:rPr>
              <w:t>-</w:t>
            </w:r>
            <w:r>
              <w:rPr>
                <w:rFonts w:hint="eastAsia"/>
                <w:sz w:val="24"/>
                <w:szCs w:val="24"/>
                <w:lang w:val="en-US" w:eastAsia="zh-CN"/>
              </w:rPr>
              <w:t>0</w:t>
            </w:r>
            <w:r>
              <w:rPr>
                <w:rFonts w:hint="eastAsia"/>
                <w:sz w:val="24"/>
                <w:szCs w:val="24"/>
              </w:rPr>
              <w:t>1-</w:t>
            </w:r>
            <w:r>
              <w:rPr>
                <w:rFonts w:hint="eastAsia"/>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03" w:type="dxa"/>
            <w:vAlign w:val="center"/>
          </w:tcPr>
          <w:p>
            <w:pPr>
              <w:snapToGrid w:val="0"/>
              <w:ind w:left="0" w:leftChars="0" w:right="0" w:rightChars="0" w:firstLine="0" w:firstLineChars="0"/>
              <w:jc w:val="center"/>
              <w:rPr>
                <w:rFonts w:hint="eastAsia" w:ascii="Calibri" w:eastAsia="宋体"/>
                <w:sz w:val="24"/>
                <w:szCs w:val="24"/>
                <w:lang w:val="en-US" w:eastAsia="zh-CN"/>
              </w:rPr>
            </w:pPr>
          </w:p>
        </w:tc>
        <w:tc>
          <w:tcPr>
            <w:tcW w:w="2046"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eastAsia="zh-CN"/>
              </w:rPr>
            </w:pPr>
          </w:p>
        </w:tc>
        <w:tc>
          <w:tcPr>
            <w:tcW w:w="946"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eastAsia="zh-CN"/>
              </w:rPr>
            </w:pPr>
          </w:p>
        </w:tc>
        <w:tc>
          <w:tcPr>
            <w:tcW w:w="1210" w:type="dxa"/>
            <w:vAlign w:val="center"/>
          </w:tcPr>
          <w:p>
            <w:pPr>
              <w:snapToGrid w:val="0"/>
              <w:ind w:left="0" w:leftChars="0" w:right="0" w:rightChars="0" w:firstLine="0" w:firstLineChars="0"/>
              <w:jc w:val="center"/>
              <w:rPr>
                <w:rFonts w:hint="eastAsia" w:ascii="Calibri" w:eastAsia="宋体" w:hAnsiTheme="minorEastAsia" w:cstheme="minorEastAsia"/>
                <w:sz w:val="24"/>
                <w:szCs w:val="24"/>
                <w:vertAlign w:val="baseline"/>
                <w:lang w:val="en-US" w:eastAsia="zh-CN"/>
              </w:rPr>
            </w:pPr>
          </w:p>
        </w:tc>
        <w:tc>
          <w:tcPr>
            <w:tcW w:w="1757" w:type="dxa"/>
            <w:vAlign w:val="center"/>
          </w:tcPr>
          <w:p>
            <w:pPr>
              <w:snapToGrid w:val="0"/>
              <w:ind w:left="0" w:leftChars="0" w:right="0" w:rightChars="0" w:firstLine="0" w:firstLineChars="0"/>
              <w:jc w:val="center"/>
              <w:rPr>
                <w:rFonts w:hint="eastAsia"/>
                <w:sz w:val="24"/>
                <w:szCs w:val="24"/>
              </w:rPr>
            </w:pPr>
          </w:p>
        </w:tc>
        <w:tc>
          <w:tcPr>
            <w:tcW w:w="1939" w:type="dxa"/>
            <w:vAlign w:val="center"/>
          </w:tcPr>
          <w:p>
            <w:pPr>
              <w:snapToGrid w:val="0"/>
              <w:ind w:left="0" w:leftChars="0" w:right="0" w:rightChars="0" w:firstLine="0" w:firstLineChars="0"/>
              <w:jc w:val="center"/>
              <w:rPr>
                <w:rFonts w:hint="eastAsia"/>
                <w:sz w:val="24"/>
                <w:szCs w:val="24"/>
              </w:rPr>
            </w:pPr>
          </w:p>
        </w:tc>
      </w:tr>
    </w:tbl>
    <w:p>
      <w:pPr>
        <w:pStyle w:val="2"/>
        <w:rPr>
          <w:rFonts w:hint="eastAsia"/>
          <w:lang w:val="en-US" w:eastAsia="zh-CN"/>
        </w:rPr>
      </w:pPr>
    </w:p>
    <w:p>
      <w:pPr>
        <w:pStyle w:val="3"/>
        <w:keepNext w:val="0"/>
        <w:keepLines w:val="0"/>
        <w:widowControl/>
        <w:numPr>
          <w:ilvl w:val="0"/>
          <w:numId w:val="0"/>
        </w:numPr>
        <w:spacing w:before="0" w:beforeLines="-2147483648" w:beforeAutospacing="0" w:after="0" w:afterLines="-2147483648" w:afterAutospacing="0" w:line="360" w:lineRule="auto"/>
        <w:ind w:leftChars="0"/>
        <w:contextualSpacing/>
        <w:jc w:val="left"/>
        <w:rPr>
          <w:rFonts w:hint="eastAsia" w:ascii="宋体" w:hAnsi="宋体" w:eastAsia="宋体" w:cstheme="majorBidi"/>
          <w:b/>
          <w:smallCaps/>
          <w:spacing w:val="5"/>
          <w:kern w:val="0"/>
          <w:sz w:val="30"/>
          <w:szCs w:val="36"/>
          <w:lang w:val="en-US" w:eastAsia="zh-CN"/>
        </w:rPr>
      </w:pPr>
      <w:r>
        <w:rPr>
          <w:rFonts w:hint="eastAsia" w:ascii="宋体" w:hAnsi="宋体" w:eastAsia="宋体" w:cstheme="majorBidi"/>
          <w:b/>
          <w:smallCaps/>
          <w:spacing w:val="5"/>
          <w:kern w:val="0"/>
          <w:sz w:val="30"/>
          <w:szCs w:val="36"/>
          <w:lang w:val="en-US" w:eastAsia="zh-CN"/>
        </w:rPr>
        <w:t>五、 总结与改进建议</w:t>
      </w:r>
    </w:p>
    <w:p>
      <w:pPr>
        <w:numPr>
          <w:ilvl w:val="0"/>
          <w:numId w:val="0"/>
        </w:numPr>
        <w:rPr>
          <w:rFonts w:hint="eastAsia"/>
          <w:sz w:val="24"/>
          <w:szCs w:val="24"/>
          <w:lang w:val="en-US" w:eastAsia="zh-CN"/>
        </w:rPr>
      </w:pPr>
      <w:r>
        <w:rPr>
          <w:rFonts w:hint="eastAsia" w:ascii="宋体" w:hAnsi="宋体" w:eastAsia="宋体" w:cstheme="majorBidi"/>
          <w:b w:val="0"/>
          <w:bCs/>
          <w:smallCaps/>
          <w:spacing w:val="5"/>
          <w:kern w:val="0"/>
          <w:sz w:val="24"/>
          <w:szCs w:val="24"/>
          <w:lang w:val="en-US" w:eastAsia="zh-CN"/>
        </w:rPr>
        <w:t>[以下内容为举例]</w:t>
      </w:r>
    </w:p>
    <w:p>
      <w:pPr>
        <w:rPr>
          <w:rFonts w:hint="eastAsia"/>
          <w:sz w:val="24"/>
          <w:szCs w:val="24"/>
        </w:rPr>
      </w:pPr>
      <w:r>
        <w:rPr>
          <w:rFonts w:hint="eastAsia"/>
          <w:sz w:val="24"/>
          <w:szCs w:val="24"/>
        </w:rPr>
        <w:t>本次巡检总结：</w:t>
      </w:r>
    </w:p>
    <w:p>
      <w:pPr>
        <w:rPr>
          <w:rFonts w:hint="eastAsia"/>
          <w:sz w:val="24"/>
          <w:szCs w:val="24"/>
        </w:rPr>
      </w:pPr>
      <w:r>
        <w:rPr>
          <w:rFonts w:hint="eastAsia"/>
          <w:sz w:val="24"/>
          <w:szCs w:val="24"/>
        </w:rPr>
        <w:t>总体风险可控，但数据库性能和容量存在明确隐患，需优先处理。</w:t>
      </w:r>
    </w:p>
    <w:p>
      <w:pPr>
        <w:rPr>
          <w:rFonts w:hint="eastAsia"/>
          <w:sz w:val="24"/>
          <w:szCs w:val="24"/>
        </w:rPr>
      </w:pPr>
    </w:p>
    <w:p>
      <w:pPr>
        <w:rPr>
          <w:rFonts w:hint="eastAsia"/>
          <w:sz w:val="24"/>
          <w:szCs w:val="24"/>
        </w:rPr>
      </w:pPr>
      <w:r>
        <w:rPr>
          <w:rFonts w:hint="eastAsia"/>
          <w:sz w:val="24"/>
          <w:szCs w:val="24"/>
          <w:lang w:val="en-US" w:eastAsia="zh-CN"/>
        </w:rPr>
        <w:t>改进</w:t>
      </w:r>
      <w:r>
        <w:rPr>
          <w:rFonts w:hint="eastAsia"/>
          <w:sz w:val="24"/>
          <w:szCs w:val="24"/>
        </w:rPr>
        <w:t>建议：</w:t>
      </w:r>
    </w:p>
    <w:p>
      <w:pPr>
        <w:rPr>
          <w:rFonts w:hint="eastAsia"/>
          <w:sz w:val="24"/>
          <w:szCs w:val="24"/>
        </w:rPr>
      </w:pPr>
      <w:r>
        <w:rPr>
          <w:rFonts w:hint="eastAsia"/>
          <w:sz w:val="24"/>
          <w:szCs w:val="24"/>
        </w:rPr>
        <w:t>建议将慢查询TOP 10自动纳入每日巡检项。</w:t>
      </w:r>
    </w:p>
    <w:p>
      <w:pPr>
        <w:rPr>
          <w:rFonts w:hint="eastAsia"/>
          <w:sz w:val="24"/>
          <w:szCs w:val="24"/>
        </w:rPr>
      </w:pPr>
      <w:r>
        <w:rPr>
          <w:rFonts w:hint="eastAsia"/>
          <w:sz w:val="24"/>
          <w:szCs w:val="24"/>
        </w:rPr>
        <w:t>建议搭建自动化Dashboard，将本报告中的核心指标可视化，减少人工采集时间。</w:t>
      </w:r>
    </w:p>
    <w:p>
      <w:pPr>
        <w:rPr>
          <w:rFonts w:hint="eastAsia"/>
          <w:sz w:val="24"/>
          <w:szCs w:val="24"/>
        </w:rPr>
      </w:pPr>
      <w:r>
        <w:rPr>
          <w:rFonts w:hint="eastAsia"/>
          <w:sz w:val="24"/>
          <w:szCs w:val="24"/>
        </w:rPr>
        <w:t>建议对 [某个具体模块] 进行下季度的性能压测专项巡检。</w:t>
      </w:r>
    </w:p>
    <w:p/>
    <w:p>
      <w:pPr>
        <w:rPr>
          <w:rFonts w:hint="default"/>
          <w:lang w:val="en-US" w:eastAsia="zh-CN"/>
        </w:rPr>
      </w:pPr>
    </w:p>
    <w:p/>
    <w:p>
      <w:pPr>
        <w:rPr>
          <w:rFonts w:hint="default"/>
          <w:lang w:val="en-US" w:eastAsia="zh-CN"/>
        </w:rPr>
      </w:pPr>
    </w:p>
    <w:sectPr>
      <w:headerReference r:id="rId3" w:type="default"/>
      <w:footerReference r:id="rId4" w:type="default"/>
      <w:footerReference r:id="rId5" w:type="even"/>
      <w:pgSz w:w="11907" w:h="16839"/>
      <w:pgMar w:top="1440" w:right="1800" w:bottom="1440"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color w:val="4F81BD" w:themeColor="accent1"/>
        <w:sz w:val="21"/>
        <w:szCs w:val="21"/>
        <w14:textFill>
          <w14:solidFill>
            <w14:schemeClr w14:val="accent1"/>
          </w14:solidFill>
        </w14:textFill>
      </w:rPr>
    </w:pPr>
    <w:r>
      <w:rPr>
        <w:color w:val="4F81BD" w:themeColor="accent1"/>
        <w:lang w:val="zh-CN"/>
        <w14:textFill>
          <w14:solidFill>
            <w14:schemeClr w14:val="accent1"/>
          </w14:solidFill>
        </w14:textFill>
      </w:rPr>
      <w:tab/>
    </w:r>
    <w:r>
      <w:rPr>
        <w:rFonts w:hint="eastAsia"/>
        <w:sz w:val="21"/>
        <w:szCs w:val="21"/>
        <w:lang w:val="zh-CN"/>
      </w:rPr>
      <w:t>第</w:t>
    </w:r>
    <w:r>
      <w:rPr>
        <w:sz w:val="21"/>
        <w:szCs w:val="21"/>
        <w:lang w:val="zh-CN"/>
      </w:rPr>
      <w:t xml:space="preserve"> </w:t>
    </w:r>
    <w:r>
      <w:rPr>
        <w:sz w:val="21"/>
        <w:szCs w:val="21"/>
      </w:rPr>
      <w:fldChar w:fldCharType="begin"/>
    </w:r>
    <w:r>
      <w:rPr>
        <w:sz w:val="21"/>
        <w:szCs w:val="21"/>
      </w:rPr>
      <w:instrText xml:space="preserve">PAGE  \* Arabic  \* MERGEFORMAT</w:instrText>
    </w:r>
    <w:r>
      <w:rPr>
        <w:sz w:val="21"/>
        <w:szCs w:val="21"/>
      </w:rPr>
      <w:fldChar w:fldCharType="separate"/>
    </w:r>
    <w:r>
      <w:rPr>
        <w:sz w:val="21"/>
        <w:szCs w:val="21"/>
        <w:lang w:val="zh-CN"/>
      </w:rPr>
      <w:t>26</w:t>
    </w:r>
    <w:r>
      <w:rPr>
        <w:sz w:val="21"/>
        <w:szCs w:val="21"/>
      </w:rPr>
      <w:fldChar w:fldCharType="end"/>
    </w:r>
    <w:r>
      <w:rPr>
        <w:sz w:val="21"/>
        <w:szCs w:val="21"/>
        <w:lang w:val="zh-CN"/>
      </w:rPr>
      <w:t xml:space="preserve"> </w:t>
    </w:r>
    <w:r>
      <w:rPr>
        <w:rFonts w:hint="eastAsia"/>
        <w:sz w:val="21"/>
        <w:szCs w:val="21"/>
        <w:lang w:val="zh-CN"/>
      </w:rPr>
      <w:t>页 共</w:t>
    </w:r>
    <w:r>
      <w:rPr>
        <w:sz w:val="21"/>
        <w:szCs w:val="21"/>
        <w:lang w:val="zh-CN"/>
      </w:rPr>
      <w:t xml:space="preserve"> </w:t>
    </w:r>
    <w:r>
      <w:rPr>
        <w:sz w:val="21"/>
        <w:szCs w:val="21"/>
      </w:rPr>
      <w:fldChar w:fldCharType="begin"/>
    </w:r>
    <w:r>
      <w:rPr>
        <w:sz w:val="21"/>
        <w:szCs w:val="21"/>
      </w:rPr>
      <w:instrText xml:space="preserve">NUMPAGES  \* Arabic  \* MERGEFORMAT</w:instrText>
    </w:r>
    <w:r>
      <w:rPr>
        <w:sz w:val="21"/>
        <w:szCs w:val="21"/>
      </w:rPr>
      <w:fldChar w:fldCharType="separate"/>
    </w:r>
    <w:r>
      <w:rPr>
        <w:sz w:val="21"/>
        <w:szCs w:val="21"/>
        <w:lang w:val="zh-CN"/>
      </w:rPr>
      <w:t>33</w:t>
    </w:r>
    <w:r>
      <w:rPr>
        <w:sz w:val="21"/>
        <w:szCs w:val="21"/>
      </w:rPr>
      <w:fldChar w:fldCharType="end"/>
    </w:r>
    <w:r>
      <w:rPr>
        <w:sz w:val="21"/>
        <w:szCs w:val="21"/>
      </w:rPr>
      <w:t xml:space="preserve"> </w:t>
    </w:r>
    <w:r>
      <w:rPr>
        <w:rFonts w:hint="eastAsia"/>
        <w:sz w:val="21"/>
        <w:szCs w:val="21"/>
      </w:rPr>
      <w:t>页</w:t>
    </w:r>
    <w:r>
      <w:rPr>
        <w:color w:val="4F81BD" w:themeColor="accent1"/>
        <w:sz w:val="21"/>
        <w:szCs w:val="21"/>
        <w14:textFill>
          <w14:solidFill>
            <w14:schemeClr w14:val="accent1"/>
          </w14:solidFill>
        </w14:textFil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color w:val="4F81BD" w:themeColor="accent1"/>
        <w14:textFill>
          <w14:solidFill>
            <w14:schemeClr w14:val="accent1"/>
          </w14:solidFill>
        </w14:textFill>
      </w:rPr>
    </w:pPr>
    <w:r>
      <w:rPr>
        <w:color w:val="4F81BD" w:themeColor="accent1"/>
        <w:lang w:val="zh-CN"/>
        <w14:textFill>
          <w14:solidFill>
            <w14:schemeClr w14:val="accent1"/>
          </w14:solidFill>
        </w14:textFill>
      </w:rPr>
      <w:t xml:space="preserve"> </w:t>
    </w:r>
    <w:r>
      <w:rPr>
        <w:color w:val="4F81BD" w:themeColor="accent1"/>
        <w14:textFill>
          <w14:solidFill>
            <w14:schemeClr w14:val="accent1"/>
          </w14:solidFill>
        </w14:textFill>
      </w:rPr>
      <w:fldChar w:fldCharType="begin"/>
    </w:r>
    <w:r>
      <w:rPr>
        <w:color w:val="4F81BD" w:themeColor="accent1"/>
        <w14:textFill>
          <w14:solidFill>
            <w14:schemeClr w14:val="accent1"/>
          </w14:solidFill>
        </w14:textFill>
      </w:rPr>
      <w:instrText xml:space="preserve">PAGE  \* Arabic  \* MERGEFORMAT</w:instrText>
    </w:r>
    <w:r>
      <w:rPr>
        <w:color w:val="4F81BD" w:themeColor="accent1"/>
        <w14:textFill>
          <w14:solidFill>
            <w14:schemeClr w14:val="accent1"/>
          </w14:solidFill>
        </w14:textFill>
      </w:rPr>
      <w:fldChar w:fldCharType="separate"/>
    </w:r>
    <w:r>
      <w:rPr>
        <w:color w:val="4F81BD" w:themeColor="accent1"/>
        <w:lang w:val="zh-CN"/>
        <w14:textFill>
          <w14:solidFill>
            <w14:schemeClr w14:val="accent1"/>
          </w14:solidFill>
        </w14:textFill>
      </w:rPr>
      <w:t>2</w:t>
    </w:r>
    <w:r>
      <w:rPr>
        <w:color w:val="4F81BD" w:themeColor="accent1"/>
        <w14:textFill>
          <w14:solidFill>
            <w14:schemeClr w14:val="accent1"/>
          </w14:solidFill>
        </w14:textFill>
      </w:rPr>
      <w:fldChar w:fldCharType="end"/>
    </w:r>
    <w:r>
      <w:rPr>
        <w:color w:val="4F81BD" w:themeColor="accent1"/>
        <w:lang w:val="zh-CN"/>
        <w14:textFill>
          <w14:solidFill>
            <w14:schemeClr w14:val="accent1"/>
          </w14:solidFill>
        </w14:textFill>
      </w:rPr>
      <w:t xml:space="preserve"> / </w:t>
    </w:r>
    <w:r>
      <w:rPr>
        <w:color w:val="4F81BD" w:themeColor="accent1"/>
        <w14:textFill>
          <w14:solidFill>
            <w14:schemeClr w14:val="accent1"/>
          </w14:solidFill>
        </w14:textFill>
      </w:rPr>
      <w:fldChar w:fldCharType="begin"/>
    </w:r>
    <w:r>
      <w:rPr>
        <w:color w:val="4F81BD" w:themeColor="accent1"/>
        <w14:textFill>
          <w14:solidFill>
            <w14:schemeClr w14:val="accent1"/>
          </w14:solidFill>
        </w14:textFill>
      </w:rPr>
      <w:instrText xml:space="preserve">NUMPAGES  \* Arabic  \* MERGEFORMAT</w:instrText>
    </w:r>
    <w:r>
      <w:rPr>
        <w:color w:val="4F81BD" w:themeColor="accent1"/>
        <w14:textFill>
          <w14:solidFill>
            <w14:schemeClr w14:val="accent1"/>
          </w14:solidFill>
        </w14:textFill>
      </w:rPr>
      <w:fldChar w:fldCharType="separate"/>
    </w:r>
    <w:r>
      <w:rPr>
        <w:color w:val="4F81BD" w:themeColor="accent1"/>
        <w:lang w:val="zh-CN"/>
        <w14:textFill>
          <w14:solidFill>
            <w14:schemeClr w14:val="accent1"/>
          </w14:solidFill>
        </w14:textFill>
      </w:rPr>
      <w:t>2</w:t>
    </w:r>
    <w:r>
      <w:rPr>
        <w:color w:val="4F81BD" w:themeColor="accent1"/>
        <w14:textFill>
          <w14:solidFill>
            <w14:schemeClr w14:val="accent1"/>
          </w14:solidFill>
        </w14:textFill>
      </w:rPr>
      <w:fldChar w:fldCharType="end"/>
    </w:r>
  </w:p>
  <w:p>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drawing>
        <wp:inline distT="0" distB="0" distL="0" distR="0">
          <wp:extent cx="1982470" cy="359410"/>
          <wp:effectExtent l="0" t="0" r="0" b="2540"/>
          <wp:docPr id="555819174" name="图片 1"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19174" name="图片 1" descr="卡通人物&#10;&#10;中度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3072" cy="360000"/>
                  </a:xfrm>
                  <a:prstGeom prst="rect">
                    <a:avLst/>
                  </a:prstGeom>
                </pic:spPr>
              </pic:pic>
            </a:graphicData>
          </a:graphic>
        </wp:inline>
      </w:drawing>
    </w:r>
    <w:r>
      <w:ptab w:relativeTo="margin" w:alignment="center" w:leader="none"/>
    </w:r>
    <w:r>
      <w:ptab w:relativeTo="margin" w:alignment="right" w:leader="none"/>
    </w:r>
    <w:r>
      <w:rPr>
        <w:rFonts w:hint="eastAsia"/>
      </w:rPr>
      <w:t>维保服务范围及工作内容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4D7"/>
    <w:multiLevelType w:val="multilevel"/>
    <w:tmpl w:val="0B9214D7"/>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71657A1"/>
    <w:multiLevelType w:val="multilevel"/>
    <w:tmpl w:val="171657A1"/>
    <w:lvl w:ilvl="0" w:tentative="0">
      <w:start w:val="1"/>
      <w:numFmt w:val="decimal"/>
      <w:lvlText w:val="%1"/>
      <w:lvlJc w:val="left"/>
      <w:pPr>
        <w:ind w:left="432" w:hanging="432"/>
      </w:pPr>
      <w:rPr>
        <w:rFonts w:hint="default"/>
        <w:b w:val="0"/>
        <w:bCs/>
        <w:i w:val="0"/>
        <w:iCs w:val="0"/>
        <w:caps w:val="0"/>
        <w:strike w:val="0"/>
        <w:dstrike w:val="0"/>
        <w:vanish w:val="0"/>
        <w:color w:val="000000"/>
        <w:sz w:val="36"/>
        <w:szCs w:val="144"/>
        <w:vertAlign w:val="baseline"/>
        <w14:shadow w14:blurRad="0" w14:dist="0" w14:dir="0" w14:sx="0" w14:sy="0" w14:kx="0" w14:ky="0" w14:algn="none">
          <w14:srgbClr w14:val="000000"/>
        </w14:shadow>
      </w:rPr>
    </w:lvl>
    <w:lvl w:ilvl="1" w:tentative="0">
      <w:start w:val="1"/>
      <w:numFmt w:val="decimal"/>
      <w:lvlText w:val="%1.%2"/>
      <w:lvlJc w:val="left"/>
      <w:pPr>
        <w:ind w:left="576" w:hanging="576"/>
      </w:pPr>
      <w:rPr>
        <w:rFonts w:hint="default"/>
        <w:b w:val="0"/>
        <w:bCs/>
        <w:i w:val="0"/>
        <w:iCs w:val="0"/>
        <w:caps w:val="0"/>
        <w:strike w:val="0"/>
        <w:dstrike w:val="0"/>
        <w:snapToGrid w:val="0"/>
        <w:vanish w:val="0"/>
        <w:color w:val="000000"/>
        <w:spacing w:val="0"/>
        <w:kern w:val="0"/>
        <w:sz w:val="32"/>
        <w:szCs w:val="36"/>
        <w:vertAlign w:val="baseline"/>
        <w14:shadow w14:blurRad="0" w14:dist="0" w14:dir="0" w14:sx="0" w14:sy="0" w14:kx="0" w14:ky="0" w14:algn="none">
          <w14:srgbClr w14:val="000000"/>
        </w14:shadow>
      </w:rPr>
    </w:lvl>
    <w:lvl w:ilvl="2" w:tentative="0">
      <w:start w:val="1"/>
      <w:numFmt w:val="decimal"/>
      <w:lvlText w:val="%1.%2.%3"/>
      <w:lvlJc w:val="left"/>
      <w:pPr>
        <w:ind w:left="720" w:hanging="720"/>
      </w:pPr>
      <w:rPr>
        <w:rFonts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tentative="0">
      <w:start w:val="1"/>
      <w:numFmt w:val="decimal"/>
      <w:lvlText w:val="%1.%2.%3.%4"/>
      <w:lvlJc w:val="left"/>
      <w:pPr>
        <w:ind w:left="1432" w:hanging="864"/>
      </w:pPr>
      <w:rPr>
        <w:rFonts w:hint="default"/>
        <w:b w:val="0"/>
        <w:bCs/>
        <w:i w:val="0"/>
        <w:iCs w:val="0"/>
        <w:caps w:val="0"/>
        <w:strike w:val="0"/>
        <w:dstrike w:val="0"/>
        <w:vanish w:val="0"/>
        <w:color w:val="000000"/>
        <w:sz w:val="28"/>
        <w:szCs w:val="20"/>
        <w:vertAlign w:val="baseline"/>
        <w14:shadow w14:blurRad="0" w14:dist="0" w14:dir="0" w14:sx="0" w14:sy="0" w14:kx="0" w14:ky="0" w14:algn="none">
          <w14:srgbClr w14:val="000000"/>
        </w14:shadow>
      </w:rPr>
    </w:lvl>
    <w:lvl w:ilvl="4" w:tentative="0">
      <w:start w:val="1"/>
      <w:numFmt w:val="decimal"/>
      <w:lvlText w:val="%1.%2.%3.%4.%5"/>
      <w:lvlJc w:val="left"/>
      <w:pPr>
        <w:ind w:left="1008" w:hanging="1008"/>
      </w:pPr>
      <w:rPr>
        <w:rFonts w:hint="default"/>
        <w:b w:val="0"/>
        <w:bCs/>
        <w:i w:val="0"/>
        <w:iCs w:val="0"/>
        <w:sz w:val="24"/>
        <w:szCs w:val="24"/>
        <w:u w:val="none"/>
      </w:rPr>
    </w:lvl>
    <w:lvl w:ilvl="5" w:tentative="0">
      <w:start w:val="1"/>
      <w:numFmt w:val="decimal"/>
      <w:lvlText w:val="%1.%2.%3.%4.%5.%6"/>
      <w:lvlJc w:val="left"/>
      <w:pPr>
        <w:ind w:left="1152" w:hanging="1152"/>
      </w:pPr>
      <w:rPr>
        <w:rFonts w:hint="default"/>
        <w:b w:val="0"/>
        <w:bCs/>
        <w:i w:val="0"/>
        <w:iCs w:val="0"/>
        <w:color w:val="auto"/>
        <w:sz w:val="21"/>
        <w:szCs w:val="21"/>
      </w:rPr>
    </w:lvl>
    <w:lvl w:ilvl="6" w:tentative="0">
      <w:start w:val="1"/>
      <w:numFmt w:val="decimal"/>
      <w:lvlText w:val="%1.%2.%3.%4.%5.%6.%7"/>
      <w:lvlJc w:val="left"/>
      <w:pPr>
        <w:ind w:left="1296" w:hanging="1296"/>
      </w:pPr>
      <w:rPr>
        <w:rFonts w:hint="default"/>
        <w:b w:val="0"/>
        <w:bCs/>
        <w:i w:val="0"/>
        <w:iCs w:val="0"/>
        <w:sz w:val="21"/>
        <w:szCs w:val="21"/>
        <w:u w:val="none"/>
      </w:rPr>
    </w:lvl>
    <w:lvl w:ilvl="7" w:tentative="0">
      <w:start w:val="1"/>
      <w:numFmt w:val="decimal"/>
      <w:lvlText w:val="%1.%2.%3.%4.%5.%6.%7.%8"/>
      <w:lvlJc w:val="left"/>
      <w:pPr>
        <w:ind w:left="1440" w:hanging="1440"/>
      </w:pPr>
      <w:rPr>
        <w:rFonts w:hint="default"/>
        <w:b w:val="0"/>
        <w:bCs/>
        <w:i w:val="0"/>
        <w:iCs w:val="0"/>
        <w:strike w:val="0"/>
        <w:dstrike w:val="0"/>
        <w:color w:val="auto"/>
        <w:sz w:val="21"/>
        <w:szCs w:val="21"/>
        <w:vertAlign w:val="baseline"/>
        <w14:shadow w14:blurRad="0" w14:dist="0" w14:dir="0" w14:sx="0" w14:sy="0" w14:kx="0" w14:ky="0" w14:algn="none">
          <w14:srgbClr w14:val="000000"/>
        </w14:shadow>
      </w:rPr>
    </w:lvl>
    <w:lvl w:ilvl="8" w:tentative="0">
      <w:start w:val="1"/>
      <w:numFmt w:val="decimal"/>
      <w:pStyle w:val="11"/>
      <w:lvlText w:val="%1.%2.%3.%4.%5.%6.%7.%8.%9"/>
      <w:lvlJc w:val="left"/>
      <w:pPr>
        <w:ind w:left="1584" w:hanging="1584"/>
      </w:pPr>
      <w:rPr>
        <w:rFonts w:hint="default"/>
        <w:b w:val="0"/>
        <w:bCs/>
        <w:i w:val="0"/>
        <w:iCs w:val="0"/>
        <w:color w:val="auto"/>
        <w:sz w:val="21"/>
        <w:szCs w:val="21"/>
      </w:rPr>
    </w:lvl>
  </w:abstractNum>
  <w:abstractNum w:abstractNumId="2">
    <w:nsid w:val="304C07C9"/>
    <w:multiLevelType w:val="multilevel"/>
    <w:tmpl w:val="304C07C9"/>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lvlText w:val="%1.%2.%3.%4.%5.%6.%7.%8.%9"/>
      <w:lvlJc w:val="left"/>
      <w:pPr>
        <w:ind w:left="1584" w:hanging="1584"/>
      </w:pPr>
    </w:lvl>
  </w:abstractNum>
  <w:abstractNum w:abstractNumId="3">
    <w:nsid w:val="4B826C9F"/>
    <w:multiLevelType w:val="multilevel"/>
    <w:tmpl w:val="4B826C9F"/>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F048ED1"/>
    <w:multiLevelType w:val="singleLevel"/>
    <w:tmpl w:val="4F048ED1"/>
    <w:lvl w:ilvl="0" w:tentative="0">
      <w:start w:val="1"/>
      <w:numFmt w:val="chineseCounting"/>
      <w:suff w:val="space"/>
      <w:lvlText w:val="%1、"/>
      <w:lvlJc w:val="left"/>
      <w:rPr>
        <w:rFonts w:hint="eastAsia"/>
      </w:rPr>
    </w:lvl>
  </w:abstractNum>
  <w:abstractNum w:abstractNumId="5">
    <w:nsid w:val="5FD003ED"/>
    <w:multiLevelType w:val="multilevel"/>
    <w:tmpl w:val="5FD003ED"/>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9CB45E0"/>
    <w:multiLevelType w:val="multilevel"/>
    <w:tmpl w:val="79CB45E0"/>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trackedChanges"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yOTViYzFiNmI0YzI0ODQyZGZmNDBmMGU2MGI5NjQifQ=="/>
  </w:docVars>
  <w:rsids>
    <w:rsidRoot w:val="00003549"/>
    <w:rsid w:val="000012FE"/>
    <w:rsid w:val="0000233A"/>
    <w:rsid w:val="00003549"/>
    <w:rsid w:val="00003E88"/>
    <w:rsid w:val="000069D2"/>
    <w:rsid w:val="00007ABA"/>
    <w:rsid w:val="0001313F"/>
    <w:rsid w:val="000142C8"/>
    <w:rsid w:val="000154D4"/>
    <w:rsid w:val="00016096"/>
    <w:rsid w:val="00016738"/>
    <w:rsid w:val="00017042"/>
    <w:rsid w:val="00017A2E"/>
    <w:rsid w:val="00022A3D"/>
    <w:rsid w:val="00022ACB"/>
    <w:rsid w:val="00022EB3"/>
    <w:rsid w:val="000245AA"/>
    <w:rsid w:val="00025A04"/>
    <w:rsid w:val="00027FF3"/>
    <w:rsid w:val="0003091E"/>
    <w:rsid w:val="00031AEE"/>
    <w:rsid w:val="00032109"/>
    <w:rsid w:val="000323E9"/>
    <w:rsid w:val="000356FC"/>
    <w:rsid w:val="000404AF"/>
    <w:rsid w:val="00040992"/>
    <w:rsid w:val="00041A3D"/>
    <w:rsid w:val="00042592"/>
    <w:rsid w:val="0004359F"/>
    <w:rsid w:val="00044A92"/>
    <w:rsid w:val="00044AEF"/>
    <w:rsid w:val="00046985"/>
    <w:rsid w:val="00046AF1"/>
    <w:rsid w:val="00046B70"/>
    <w:rsid w:val="00046BCC"/>
    <w:rsid w:val="00052A3D"/>
    <w:rsid w:val="00053964"/>
    <w:rsid w:val="000539FC"/>
    <w:rsid w:val="000546A5"/>
    <w:rsid w:val="00055C00"/>
    <w:rsid w:val="0005660A"/>
    <w:rsid w:val="00056DFB"/>
    <w:rsid w:val="00057197"/>
    <w:rsid w:val="000573DF"/>
    <w:rsid w:val="00062679"/>
    <w:rsid w:val="00062C39"/>
    <w:rsid w:val="00064178"/>
    <w:rsid w:val="000646DF"/>
    <w:rsid w:val="00064BD6"/>
    <w:rsid w:val="00066350"/>
    <w:rsid w:val="00066389"/>
    <w:rsid w:val="00066B7A"/>
    <w:rsid w:val="0006700C"/>
    <w:rsid w:val="0007016F"/>
    <w:rsid w:val="0007234C"/>
    <w:rsid w:val="00075AA1"/>
    <w:rsid w:val="0007621E"/>
    <w:rsid w:val="000762AC"/>
    <w:rsid w:val="000768E5"/>
    <w:rsid w:val="00076E07"/>
    <w:rsid w:val="000808D2"/>
    <w:rsid w:val="00080AA7"/>
    <w:rsid w:val="00080F8A"/>
    <w:rsid w:val="00081E99"/>
    <w:rsid w:val="00083BF5"/>
    <w:rsid w:val="000842AB"/>
    <w:rsid w:val="00084AC1"/>
    <w:rsid w:val="00084EC5"/>
    <w:rsid w:val="000874F2"/>
    <w:rsid w:val="00090B0C"/>
    <w:rsid w:val="00092A31"/>
    <w:rsid w:val="00092B5C"/>
    <w:rsid w:val="00093458"/>
    <w:rsid w:val="00093677"/>
    <w:rsid w:val="00093819"/>
    <w:rsid w:val="000959E8"/>
    <w:rsid w:val="0009667B"/>
    <w:rsid w:val="00096E78"/>
    <w:rsid w:val="00097369"/>
    <w:rsid w:val="000975EB"/>
    <w:rsid w:val="000A0796"/>
    <w:rsid w:val="000A0874"/>
    <w:rsid w:val="000A1BBE"/>
    <w:rsid w:val="000A2DFF"/>
    <w:rsid w:val="000A4ACB"/>
    <w:rsid w:val="000A7800"/>
    <w:rsid w:val="000B0821"/>
    <w:rsid w:val="000B25BB"/>
    <w:rsid w:val="000B2C81"/>
    <w:rsid w:val="000B4EAC"/>
    <w:rsid w:val="000B56A7"/>
    <w:rsid w:val="000B5C8A"/>
    <w:rsid w:val="000C082C"/>
    <w:rsid w:val="000C2070"/>
    <w:rsid w:val="000C26E4"/>
    <w:rsid w:val="000C33FF"/>
    <w:rsid w:val="000C393F"/>
    <w:rsid w:val="000C522C"/>
    <w:rsid w:val="000C571E"/>
    <w:rsid w:val="000C605D"/>
    <w:rsid w:val="000C657B"/>
    <w:rsid w:val="000D1A6F"/>
    <w:rsid w:val="000D4262"/>
    <w:rsid w:val="000D5862"/>
    <w:rsid w:val="000D5FD6"/>
    <w:rsid w:val="000D7BCB"/>
    <w:rsid w:val="000D7C82"/>
    <w:rsid w:val="000D7F48"/>
    <w:rsid w:val="000E1353"/>
    <w:rsid w:val="000E4883"/>
    <w:rsid w:val="000E55D5"/>
    <w:rsid w:val="000E60A7"/>
    <w:rsid w:val="000E61AB"/>
    <w:rsid w:val="000E6328"/>
    <w:rsid w:val="000E7CCA"/>
    <w:rsid w:val="000F023B"/>
    <w:rsid w:val="000F02C1"/>
    <w:rsid w:val="000F2024"/>
    <w:rsid w:val="000F39C5"/>
    <w:rsid w:val="000F465B"/>
    <w:rsid w:val="000F6241"/>
    <w:rsid w:val="000F7661"/>
    <w:rsid w:val="00100CE1"/>
    <w:rsid w:val="00104C8A"/>
    <w:rsid w:val="0010527A"/>
    <w:rsid w:val="00105FEF"/>
    <w:rsid w:val="00112004"/>
    <w:rsid w:val="0011339C"/>
    <w:rsid w:val="001158F6"/>
    <w:rsid w:val="00117BBA"/>
    <w:rsid w:val="00120680"/>
    <w:rsid w:val="00122B09"/>
    <w:rsid w:val="00124469"/>
    <w:rsid w:val="00124CF4"/>
    <w:rsid w:val="0012679E"/>
    <w:rsid w:val="0012724B"/>
    <w:rsid w:val="001273F7"/>
    <w:rsid w:val="001318B1"/>
    <w:rsid w:val="00131A3D"/>
    <w:rsid w:val="00133DDE"/>
    <w:rsid w:val="00136D9D"/>
    <w:rsid w:val="00137230"/>
    <w:rsid w:val="00143CA8"/>
    <w:rsid w:val="00144038"/>
    <w:rsid w:val="00146A67"/>
    <w:rsid w:val="00150B12"/>
    <w:rsid w:val="00150ECE"/>
    <w:rsid w:val="001513BF"/>
    <w:rsid w:val="0015211D"/>
    <w:rsid w:val="00152E42"/>
    <w:rsid w:val="00153FFF"/>
    <w:rsid w:val="001556E0"/>
    <w:rsid w:val="00160331"/>
    <w:rsid w:val="00160339"/>
    <w:rsid w:val="0016136B"/>
    <w:rsid w:val="001616DF"/>
    <w:rsid w:val="00162634"/>
    <w:rsid w:val="00164D17"/>
    <w:rsid w:val="001651F9"/>
    <w:rsid w:val="00165AEF"/>
    <w:rsid w:val="00165BAD"/>
    <w:rsid w:val="00166497"/>
    <w:rsid w:val="00166D6F"/>
    <w:rsid w:val="00171573"/>
    <w:rsid w:val="00173145"/>
    <w:rsid w:val="001755A6"/>
    <w:rsid w:val="001762E1"/>
    <w:rsid w:val="001778C7"/>
    <w:rsid w:val="0018133C"/>
    <w:rsid w:val="00181F75"/>
    <w:rsid w:val="00183477"/>
    <w:rsid w:val="00184099"/>
    <w:rsid w:val="0018429D"/>
    <w:rsid w:val="00184322"/>
    <w:rsid w:val="00186C42"/>
    <w:rsid w:val="00187898"/>
    <w:rsid w:val="00187E34"/>
    <w:rsid w:val="00190483"/>
    <w:rsid w:val="00190531"/>
    <w:rsid w:val="0019094F"/>
    <w:rsid w:val="001915A4"/>
    <w:rsid w:val="001943A6"/>
    <w:rsid w:val="001951AC"/>
    <w:rsid w:val="00196CBA"/>
    <w:rsid w:val="00197BF0"/>
    <w:rsid w:val="001A03FD"/>
    <w:rsid w:val="001A1D79"/>
    <w:rsid w:val="001A45D6"/>
    <w:rsid w:val="001B0620"/>
    <w:rsid w:val="001B2227"/>
    <w:rsid w:val="001B27E3"/>
    <w:rsid w:val="001B2E2E"/>
    <w:rsid w:val="001B4CE5"/>
    <w:rsid w:val="001B5E34"/>
    <w:rsid w:val="001B5F17"/>
    <w:rsid w:val="001B633D"/>
    <w:rsid w:val="001C0293"/>
    <w:rsid w:val="001C069D"/>
    <w:rsid w:val="001C189C"/>
    <w:rsid w:val="001C3765"/>
    <w:rsid w:val="001C39FE"/>
    <w:rsid w:val="001C4008"/>
    <w:rsid w:val="001C402F"/>
    <w:rsid w:val="001C44A0"/>
    <w:rsid w:val="001C5317"/>
    <w:rsid w:val="001C5446"/>
    <w:rsid w:val="001C7DBB"/>
    <w:rsid w:val="001D2714"/>
    <w:rsid w:val="001D5E35"/>
    <w:rsid w:val="001E0B75"/>
    <w:rsid w:val="001E2D07"/>
    <w:rsid w:val="001E43D6"/>
    <w:rsid w:val="001E531C"/>
    <w:rsid w:val="001E54A4"/>
    <w:rsid w:val="001E5A28"/>
    <w:rsid w:val="001E5BCD"/>
    <w:rsid w:val="001E7A13"/>
    <w:rsid w:val="001F1FF6"/>
    <w:rsid w:val="001F2531"/>
    <w:rsid w:val="001F4554"/>
    <w:rsid w:val="001F52BC"/>
    <w:rsid w:val="001F6933"/>
    <w:rsid w:val="00200308"/>
    <w:rsid w:val="00200E19"/>
    <w:rsid w:val="002021F6"/>
    <w:rsid w:val="00206A74"/>
    <w:rsid w:val="00206A85"/>
    <w:rsid w:val="002111D9"/>
    <w:rsid w:val="00212542"/>
    <w:rsid w:val="00212A12"/>
    <w:rsid w:val="002133DB"/>
    <w:rsid w:val="00214314"/>
    <w:rsid w:val="0021493E"/>
    <w:rsid w:val="00215887"/>
    <w:rsid w:val="00215905"/>
    <w:rsid w:val="002174C7"/>
    <w:rsid w:val="00217777"/>
    <w:rsid w:val="0022065F"/>
    <w:rsid w:val="00220FC7"/>
    <w:rsid w:val="00221D1B"/>
    <w:rsid w:val="00221E1A"/>
    <w:rsid w:val="00222797"/>
    <w:rsid w:val="002230D3"/>
    <w:rsid w:val="002246DB"/>
    <w:rsid w:val="0022484F"/>
    <w:rsid w:val="0022493D"/>
    <w:rsid w:val="00224DBC"/>
    <w:rsid w:val="0022600B"/>
    <w:rsid w:val="002269F1"/>
    <w:rsid w:val="00227507"/>
    <w:rsid w:val="002303EE"/>
    <w:rsid w:val="00230C4C"/>
    <w:rsid w:val="00231B47"/>
    <w:rsid w:val="002322AE"/>
    <w:rsid w:val="00233420"/>
    <w:rsid w:val="00233702"/>
    <w:rsid w:val="0023416D"/>
    <w:rsid w:val="00234E71"/>
    <w:rsid w:val="002358B5"/>
    <w:rsid w:val="002363AD"/>
    <w:rsid w:val="00236408"/>
    <w:rsid w:val="00236780"/>
    <w:rsid w:val="00236AB9"/>
    <w:rsid w:val="00237533"/>
    <w:rsid w:val="00237B09"/>
    <w:rsid w:val="00240CF9"/>
    <w:rsid w:val="002416C2"/>
    <w:rsid w:val="0024214A"/>
    <w:rsid w:val="00243232"/>
    <w:rsid w:val="00243805"/>
    <w:rsid w:val="00244AA3"/>
    <w:rsid w:val="00245383"/>
    <w:rsid w:val="0024565A"/>
    <w:rsid w:val="00246898"/>
    <w:rsid w:val="00250A8B"/>
    <w:rsid w:val="00250D53"/>
    <w:rsid w:val="00251025"/>
    <w:rsid w:val="00251CBA"/>
    <w:rsid w:val="00251ED2"/>
    <w:rsid w:val="00252A4A"/>
    <w:rsid w:val="00253A02"/>
    <w:rsid w:val="00254B57"/>
    <w:rsid w:val="00255EB0"/>
    <w:rsid w:val="002563EC"/>
    <w:rsid w:val="002567EE"/>
    <w:rsid w:val="00256950"/>
    <w:rsid w:val="002605CB"/>
    <w:rsid w:val="0026263C"/>
    <w:rsid w:val="002635F0"/>
    <w:rsid w:val="0026388A"/>
    <w:rsid w:val="00266C43"/>
    <w:rsid w:val="00267770"/>
    <w:rsid w:val="00270606"/>
    <w:rsid w:val="00270CFA"/>
    <w:rsid w:val="00271237"/>
    <w:rsid w:val="00274008"/>
    <w:rsid w:val="00274513"/>
    <w:rsid w:val="00276882"/>
    <w:rsid w:val="00276F35"/>
    <w:rsid w:val="00277542"/>
    <w:rsid w:val="002776FB"/>
    <w:rsid w:val="00280375"/>
    <w:rsid w:val="00280628"/>
    <w:rsid w:val="00281F07"/>
    <w:rsid w:val="002864B3"/>
    <w:rsid w:val="002879DA"/>
    <w:rsid w:val="0029088D"/>
    <w:rsid w:val="002908E1"/>
    <w:rsid w:val="00291E82"/>
    <w:rsid w:val="002921CA"/>
    <w:rsid w:val="0029292C"/>
    <w:rsid w:val="0029544B"/>
    <w:rsid w:val="002958B3"/>
    <w:rsid w:val="002A05E8"/>
    <w:rsid w:val="002A182E"/>
    <w:rsid w:val="002A23F1"/>
    <w:rsid w:val="002A28F2"/>
    <w:rsid w:val="002A3F32"/>
    <w:rsid w:val="002A4F56"/>
    <w:rsid w:val="002A5626"/>
    <w:rsid w:val="002A6305"/>
    <w:rsid w:val="002A78CB"/>
    <w:rsid w:val="002A7DC7"/>
    <w:rsid w:val="002B0413"/>
    <w:rsid w:val="002B3067"/>
    <w:rsid w:val="002B3FA7"/>
    <w:rsid w:val="002B4E34"/>
    <w:rsid w:val="002B7261"/>
    <w:rsid w:val="002C06A1"/>
    <w:rsid w:val="002C232F"/>
    <w:rsid w:val="002C51EE"/>
    <w:rsid w:val="002C710E"/>
    <w:rsid w:val="002D0E81"/>
    <w:rsid w:val="002D159A"/>
    <w:rsid w:val="002D23ED"/>
    <w:rsid w:val="002D4102"/>
    <w:rsid w:val="002D42EE"/>
    <w:rsid w:val="002D56AE"/>
    <w:rsid w:val="002D5823"/>
    <w:rsid w:val="002D6899"/>
    <w:rsid w:val="002E068A"/>
    <w:rsid w:val="002E3DE9"/>
    <w:rsid w:val="002E5427"/>
    <w:rsid w:val="002E5CC8"/>
    <w:rsid w:val="002E67A5"/>
    <w:rsid w:val="002E7A52"/>
    <w:rsid w:val="002F231D"/>
    <w:rsid w:val="002F3D1C"/>
    <w:rsid w:val="002F5D33"/>
    <w:rsid w:val="002F60DF"/>
    <w:rsid w:val="002F6D27"/>
    <w:rsid w:val="002F75A8"/>
    <w:rsid w:val="00301859"/>
    <w:rsid w:val="00301ECB"/>
    <w:rsid w:val="0030388E"/>
    <w:rsid w:val="00303D53"/>
    <w:rsid w:val="00305CFB"/>
    <w:rsid w:val="00305F2F"/>
    <w:rsid w:val="003073E0"/>
    <w:rsid w:val="00307B16"/>
    <w:rsid w:val="00312AB3"/>
    <w:rsid w:val="00312CD8"/>
    <w:rsid w:val="003133CE"/>
    <w:rsid w:val="0031529C"/>
    <w:rsid w:val="00316604"/>
    <w:rsid w:val="003168B6"/>
    <w:rsid w:val="00316F75"/>
    <w:rsid w:val="00317BCA"/>
    <w:rsid w:val="00320470"/>
    <w:rsid w:val="00326329"/>
    <w:rsid w:val="0033013C"/>
    <w:rsid w:val="003324E8"/>
    <w:rsid w:val="00333068"/>
    <w:rsid w:val="0033337F"/>
    <w:rsid w:val="0033392B"/>
    <w:rsid w:val="00334B29"/>
    <w:rsid w:val="003356BF"/>
    <w:rsid w:val="003410C0"/>
    <w:rsid w:val="00341825"/>
    <w:rsid w:val="003432F0"/>
    <w:rsid w:val="00343E42"/>
    <w:rsid w:val="00345AB5"/>
    <w:rsid w:val="00346BE4"/>
    <w:rsid w:val="0035047A"/>
    <w:rsid w:val="00350932"/>
    <w:rsid w:val="00350FBE"/>
    <w:rsid w:val="00351214"/>
    <w:rsid w:val="00351336"/>
    <w:rsid w:val="0035176C"/>
    <w:rsid w:val="003525D4"/>
    <w:rsid w:val="00354253"/>
    <w:rsid w:val="0035778B"/>
    <w:rsid w:val="00357BA1"/>
    <w:rsid w:val="00361ABD"/>
    <w:rsid w:val="00361D4C"/>
    <w:rsid w:val="0036340A"/>
    <w:rsid w:val="00363895"/>
    <w:rsid w:val="003647D8"/>
    <w:rsid w:val="00364F20"/>
    <w:rsid w:val="00365E40"/>
    <w:rsid w:val="00366891"/>
    <w:rsid w:val="00366BA5"/>
    <w:rsid w:val="00366F26"/>
    <w:rsid w:val="00371229"/>
    <w:rsid w:val="00372796"/>
    <w:rsid w:val="00373B51"/>
    <w:rsid w:val="00373F41"/>
    <w:rsid w:val="00374EF4"/>
    <w:rsid w:val="0037664C"/>
    <w:rsid w:val="00376B8F"/>
    <w:rsid w:val="00376ECA"/>
    <w:rsid w:val="0037716A"/>
    <w:rsid w:val="003774E5"/>
    <w:rsid w:val="003778BC"/>
    <w:rsid w:val="00377929"/>
    <w:rsid w:val="00380013"/>
    <w:rsid w:val="00380580"/>
    <w:rsid w:val="0038200C"/>
    <w:rsid w:val="00382C66"/>
    <w:rsid w:val="00383870"/>
    <w:rsid w:val="00384C9D"/>
    <w:rsid w:val="0038548A"/>
    <w:rsid w:val="00390A3A"/>
    <w:rsid w:val="00392AD5"/>
    <w:rsid w:val="003934A6"/>
    <w:rsid w:val="0039439C"/>
    <w:rsid w:val="00394B8A"/>
    <w:rsid w:val="00395945"/>
    <w:rsid w:val="003969CB"/>
    <w:rsid w:val="00396C0F"/>
    <w:rsid w:val="00397AD4"/>
    <w:rsid w:val="003A0AA0"/>
    <w:rsid w:val="003A18D2"/>
    <w:rsid w:val="003A3A6C"/>
    <w:rsid w:val="003A58B1"/>
    <w:rsid w:val="003A5FA7"/>
    <w:rsid w:val="003B0A29"/>
    <w:rsid w:val="003B21A0"/>
    <w:rsid w:val="003B30C8"/>
    <w:rsid w:val="003B3D72"/>
    <w:rsid w:val="003B45BD"/>
    <w:rsid w:val="003B4D3C"/>
    <w:rsid w:val="003B5569"/>
    <w:rsid w:val="003C0A1B"/>
    <w:rsid w:val="003C0C9C"/>
    <w:rsid w:val="003C23B1"/>
    <w:rsid w:val="003C33D0"/>
    <w:rsid w:val="003C40FD"/>
    <w:rsid w:val="003C5384"/>
    <w:rsid w:val="003C5489"/>
    <w:rsid w:val="003C54A4"/>
    <w:rsid w:val="003C675F"/>
    <w:rsid w:val="003D2130"/>
    <w:rsid w:val="003D25DF"/>
    <w:rsid w:val="003D26E3"/>
    <w:rsid w:val="003D3F3D"/>
    <w:rsid w:val="003D57D0"/>
    <w:rsid w:val="003D5DE9"/>
    <w:rsid w:val="003D640D"/>
    <w:rsid w:val="003D6C4E"/>
    <w:rsid w:val="003D7F18"/>
    <w:rsid w:val="003E0DE1"/>
    <w:rsid w:val="003E1CDE"/>
    <w:rsid w:val="003E48AA"/>
    <w:rsid w:val="003E4B67"/>
    <w:rsid w:val="003E585F"/>
    <w:rsid w:val="003E630D"/>
    <w:rsid w:val="003E6434"/>
    <w:rsid w:val="003E645B"/>
    <w:rsid w:val="003F1C46"/>
    <w:rsid w:val="003F313C"/>
    <w:rsid w:val="003F33FE"/>
    <w:rsid w:val="0040068F"/>
    <w:rsid w:val="00401FF3"/>
    <w:rsid w:val="00402B96"/>
    <w:rsid w:val="004034D9"/>
    <w:rsid w:val="00403B32"/>
    <w:rsid w:val="00404E04"/>
    <w:rsid w:val="00405DD7"/>
    <w:rsid w:val="0040722B"/>
    <w:rsid w:val="00411919"/>
    <w:rsid w:val="0041196D"/>
    <w:rsid w:val="00411EF3"/>
    <w:rsid w:val="004121C6"/>
    <w:rsid w:val="00412C7E"/>
    <w:rsid w:val="0041356C"/>
    <w:rsid w:val="00413777"/>
    <w:rsid w:val="00413DD9"/>
    <w:rsid w:val="00415EC2"/>
    <w:rsid w:val="0041613B"/>
    <w:rsid w:val="00416148"/>
    <w:rsid w:val="00416C7A"/>
    <w:rsid w:val="004174DB"/>
    <w:rsid w:val="00417A96"/>
    <w:rsid w:val="0042121E"/>
    <w:rsid w:val="00423EB3"/>
    <w:rsid w:val="00425F1D"/>
    <w:rsid w:val="004335EB"/>
    <w:rsid w:val="00434EAC"/>
    <w:rsid w:val="00435B82"/>
    <w:rsid w:val="004402BC"/>
    <w:rsid w:val="00441728"/>
    <w:rsid w:val="00441E75"/>
    <w:rsid w:val="004420C4"/>
    <w:rsid w:val="00442593"/>
    <w:rsid w:val="00442A5D"/>
    <w:rsid w:val="00443230"/>
    <w:rsid w:val="00444D9E"/>
    <w:rsid w:val="00444FAA"/>
    <w:rsid w:val="00445373"/>
    <w:rsid w:val="004456EA"/>
    <w:rsid w:val="00450E91"/>
    <w:rsid w:val="00452169"/>
    <w:rsid w:val="00452387"/>
    <w:rsid w:val="00453550"/>
    <w:rsid w:val="00453A7C"/>
    <w:rsid w:val="00455753"/>
    <w:rsid w:val="00456719"/>
    <w:rsid w:val="0046002F"/>
    <w:rsid w:val="00460602"/>
    <w:rsid w:val="00460A03"/>
    <w:rsid w:val="00460D51"/>
    <w:rsid w:val="00462458"/>
    <w:rsid w:val="004633F2"/>
    <w:rsid w:val="0046346D"/>
    <w:rsid w:val="00463BDA"/>
    <w:rsid w:val="00464000"/>
    <w:rsid w:val="004657FF"/>
    <w:rsid w:val="00465814"/>
    <w:rsid w:val="00466AE4"/>
    <w:rsid w:val="004671EF"/>
    <w:rsid w:val="00467A10"/>
    <w:rsid w:val="00470F66"/>
    <w:rsid w:val="00473D24"/>
    <w:rsid w:val="004764AF"/>
    <w:rsid w:val="00477A4F"/>
    <w:rsid w:val="00477B71"/>
    <w:rsid w:val="00477D76"/>
    <w:rsid w:val="004805E3"/>
    <w:rsid w:val="00480669"/>
    <w:rsid w:val="00481757"/>
    <w:rsid w:val="00481E96"/>
    <w:rsid w:val="00481EC9"/>
    <w:rsid w:val="00481F81"/>
    <w:rsid w:val="0048202C"/>
    <w:rsid w:val="00482BE8"/>
    <w:rsid w:val="00483691"/>
    <w:rsid w:val="00485CDB"/>
    <w:rsid w:val="00485EE3"/>
    <w:rsid w:val="004875EF"/>
    <w:rsid w:val="00490A6D"/>
    <w:rsid w:val="00491D08"/>
    <w:rsid w:val="00491FBF"/>
    <w:rsid w:val="00493F5C"/>
    <w:rsid w:val="0049463E"/>
    <w:rsid w:val="00496135"/>
    <w:rsid w:val="00496D1D"/>
    <w:rsid w:val="004A010E"/>
    <w:rsid w:val="004A1E60"/>
    <w:rsid w:val="004A1EA2"/>
    <w:rsid w:val="004A2138"/>
    <w:rsid w:val="004A38FB"/>
    <w:rsid w:val="004B21A8"/>
    <w:rsid w:val="004B28A9"/>
    <w:rsid w:val="004B38A5"/>
    <w:rsid w:val="004B5A05"/>
    <w:rsid w:val="004B6807"/>
    <w:rsid w:val="004C05DB"/>
    <w:rsid w:val="004C1CA7"/>
    <w:rsid w:val="004C2A11"/>
    <w:rsid w:val="004C5053"/>
    <w:rsid w:val="004C5A7A"/>
    <w:rsid w:val="004C637C"/>
    <w:rsid w:val="004C7620"/>
    <w:rsid w:val="004D0814"/>
    <w:rsid w:val="004D0E8B"/>
    <w:rsid w:val="004D127F"/>
    <w:rsid w:val="004D2917"/>
    <w:rsid w:val="004D2AFE"/>
    <w:rsid w:val="004D3381"/>
    <w:rsid w:val="004D3B64"/>
    <w:rsid w:val="004D3D13"/>
    <w:rsid w:val="004D3E0B"/>
    <w:rsid w:val="004D612D"/>
    <w:rsid w:val="004D6F6B"/>
    <w:rsid w:val="004D753D"/>
    <w:rsid w:val="004D7F8C"/>
    <w:rsid w:val="004E0ACB"/>
    <w:rsid w:val="004E2E2D"/>
    <w:rsid w:val="004E63DD"/>
    <w:rsid w:val="004E7B37"/>
    <w:rsid w:val="004E7C48"/>
    <w:rsid w:val="004E7CBB"/>
    <w:rsid w:val="004F01D8"/>
    <w:rsid w:val="004F0610"/>
    <w:rsid w:val="004F0B67"/>
    <w:rsid w:val="004F19EF"/>
    <w:rsid w:val="004F1D2E"/>
    <w:rsid w:val="004F2159"/>
    <w:rsid w:val="004F2564"/>
    <w:rsid w:val="004F26DC"/>
    <w:rsid w:val="004F2C23"/>
    <w:rsid w:val="004F3356"/>
    <w:rsid w:val="004F3DC8"/>
    <w:rsid w:val="004F4366"/>
    <w:rsid w:val="004F4933"/>
    <w:rsid w:val="004F4AB5"/>
    <w:rsid w:val="004F7BFE"/>
    <w:rsid w:val="00501846"/>
    <w:rsid w:val="005032FC"/>
    <w:rsid w:val="00504855"/>
    <w:rsid w:val="00505A7F"/>
    <w:rsid w:val="005077FE"/>
    <w:rsid w:val="0051012B"/>
    <w:rsid w:val="00510A26"/>
    <w:rsid w:val="00511C05"/>
    <w:rsid w:val="00513CAA"/>
    <w:rsid w:val="0051703B"/>
    <w:rsid w:val="00517FC5"/>
    <w:rsid w:val="00520C72"/>
    <w:rsid w:val="005214C2"/>
    <w:rsid w:val="0052172E"/>
    <w:rsid w:val="00521802"/>
    <w:rsid w:val="00522C41"/>
    <w:rsid w:val="0052376A"/>
    <w:rsid w:val="00523918"/>
    <w:rsid w:val="00524832"/>
    <w:rsid w:val="00524B7F"/>
    <w:rsid w:val="005256CD"/>
    <w:rsid w:val="00525A05"/>
    <w:rsid w:val="00525EA0"/>
    <w:rsid w:val="005261F8"/>
    <w:rsid w:val="00530EFA"/>
    <w:rsid w:val="00531628"/>
    <w:rsid w:val="00532F08"/>
    <w:rsid w:val="00532F2B"/>
    <w:rsid w:val="005343F6"/>
    <w:rsid w:val="00534C40"/>
    <w:rsid w:val="0053533B"/>
    <w:rsid w:val="005368DD"/>
    <w:rsid w:val="00537A09"/>
    <w:rsid w:val="00537B9F"/>
    <w:rsid w:val="00542570"/>
    <w:rsid w:val="0054258B"/>
    <w:rsid w:val="00542590"/>
    <w:rsid w:val="00543FEB"/>
    <w:rsid w:val="005445AC"/>
    <w:rsid w:val="00545880"/>
    <w:rsid w:val="00551097"/>
    <w:rsid w:val="00553C98"/>
    <w:rsid w:val="005544C6"/>
    <w:rsid w:val="005548CD"/>
    <w:rsid w:val="0055503F"/>
    <w:rsid w:val="00556261"/>
    <w:rsid w:val="00556E50"/>
    <w:rsid w:val="00560808"/>
    <w:rsid w:val="005613E8"/>
    <w:rsid w:val="00562454"/>
    <w:rsid w:val="00562526"/>
    <w:rsid w:val="0056354E"/>
    <w:rsid w:val="00563A12"/>
    <w:rsid w:val="00564292"/>
    <w:rsid w:val="00564670"/>
    <w:rsid w:val="005664B8"/>
    <w:rsid w:val="005668C0"/>
    <w:rsid w:val="005726D5"/>
    <w:rsid w:val="0057622A"/>
    <w:rsid w:val="0057777F"/>
    <w:rsid w:val="00577E34"/>
    <w:rsid w:val="00580EFB"/>
    <w:rsid w:val="00581190"/>
    <w:rsid w:val="00581AF0"/>
    <w:rsid w:val="00582221"/>
    <w:rsid w:val="00582464"/>
    <w:rsid w:val="00582756"/>
    <w:rsid w:val="00582B51"/>
    <w:rsid w:val="00582DF5"/>
    <w:rsid w:val="00583714"/>
    <w:rsid w:val="00584255"/>
    <w:rsid w:val="005845C7"/>
    <w:rsid w:val="005873CD"/>
    <w:rsid w:val="00590F60"/>
    <w:rsid w:val="005928E1"/>
    <w:rsid w:val="00593637"/>
    <w:rsid w:val="005949CA"/>
    <w:rsid w:val="005954A6"/>
    <w:rsid w:val="005A0280"/>
    <w:rsid w:val="005A090D"/>
    <w:rsid w:val="005A11E2"/>
    <w:rsid w:val="005A12E5"/>
    <w:rsid w:val="005A313D"/>
    <w:rsid w:val="005A3AED"/>
    <w:rsid w:val="005A6EBD"/>
    <w:rsid w:val="005A7658"/>
    <w:rsid w:val="005A78BC"/>
    <w:rsid w:val="005B27CF"/>
    <w:rsid w:val="005B3583"/>
    <w:rsid w:val="005B4C55"/>
    <w:rsid w:val="005B664B"/>
    <w:rsid w:val="005B66CD"/>
    <w:rsid w:val="005B785B"/>
    <w:rsid w:val="005B7D28"/>
    <w:rsid w:val="005C158F"/>
    <w:rsid w:val="005C181B"/>
    <w:rsid w:val="005C1EB3"/>
    <w:rsid w:val="005C273B"/>
    <w:rsid w:val="005C292C"/>
    <w:rsid w:val="005C4D44"/>
    <w:rsid w:val="005C5925"/>
    <w:rsid w:val="005C5B1D"/>
    <w:rsid w:val="005C636A"/>
    <w:rsid w:val="005C7ED9"/>
    <w:rsid w:val="005D1501"/>
    <w:rsid w:val="005D184B"/>
    <w:rsid w:val="005D2635"/>
    <w:rsid w:val="005D2F00"/>
    <w:rsid w:val="005D38ED"/>
    <w:rsid w:val="005D3F65"/>
    <w:rsid w:val="005D4439"/>
    <w:rsid w:val="005D5425"/>
    <w:rsid w:val="005D5F10"/>
    <w:rsid w:val="005D6213"/>
    <w:rsid w:val="005D6C6A"/>
    <w:rsid w:val="005E16D7"/>
    <w:rsid w:val="005E1B0B"/>
    <w:rsid w:val="005E2759"/>
    <w:rsid w:val="005E2839"/>
    <w:rsid w:val="005E2F33"/>
    <w:rsid w:val="005E2FD2"/>
    <w:rsid w:val="005E3C1E"/>
    <w:rsid w:val="005E557A"/>
    <w:rsid w:val="005E7FA2"/>
    <w:rsid w:val="005F004E"/>
    <w:rsid w:val="005F0072"/>
    <w:rsid w:val="005F186B"/>
    <w:rsid w:val="005F2845"/>
    <w:rsid w:val="005F2973"/>
    <w:rsid w:val="005F5A1B"/>
    <w:rsid w:val="005F6256"/>
    <w:rsid w:val="005F6C95"/>
    <w:rsid w:val="005F74FE"/>
    <w:rsid w:val="005F7A8C"/>
    <w:rsid w:val="005F7AB9"/>
    <w:rsid w:val="0060028C"/>
    <w:rsid w:val="00600B23"/>
    <w:rsid w:val="00603633"/>
    <w:rsid w:val="0060490B"/>
    <w:rsid w:val="0060581C"/>
    <w:rsid w:val="006063B4"/>
    <w:rsid w:val="00606553"/>
    <w:rsid w:val="006070A9"/>
    <w:rsid w:val="00612547"/>
    <w:rsid w:val="00612607"/>
    <w:rsid w:val="00614951"/>
    <w:rsid w:val="006151A2"/>
    <w:rsid w:val="00616423"/>
    <w:rsid w:val="006171A1"/>
    <w:rsid w:val="006171E0"/>
    <w:rsid w:val="00617C71"/>
    <w:rsid w:val="006203CB"/>
    <w:rsid w:val="006210CE"/>
    <w:rsid w:val="00621A02"/>
    <w:rsid w:val="00621DB9"/>
    <w:rsid w:val="006224DA"/>
    <w:rsid w:val="00622516"/>
    <w:rsid w:val="00624816"/>
    <w:rsid w:val="00626F70"/>
    <w:rsid w:val="0062735F"/>
    <w:rsid w:val="00634001"/>
    <w:rsid w:val="006358FE"/>
    <w:rsid w:val="00636B87"/>
    <w:rsid w:val="00636DE1"/>
    <w:rsid w:val="00637F44"/>
    <w:rsid w:val="00641775"/>
    <w:rsid w:val="00642945"/>
    <w:rsid w:val="00642C8C"/>
    <w:rsid w:val="00647E19"/>
    <w:rsid w:val="00652480"/>
    <w:rsid w:val="00653092"/>
    <w:rsid w:val="0065331F"/>
    <w:rsid w:val="00655BB5"/>
    <w:rsid w:val="006601CD"/>
    <w:rsid w:val="00660966"/>
    <w:rsid w:val="00661397"/>
    <w:rsid w:val="00662A9D"/>
    <w:rsid w:val="00662C43"/>
    <w:rsid w:val="00662DA0"/>
    <w:rsid w:val="00663C0A"/>
    <w:rsid w:val="00664768"/>
    <w:rsid w:val="006668DF"/>
    <w:rsid w:val="006700CE"/>
    <w:rsid w:val="0067210B"/>
    <w:rsid w:val="006737AF"/>
    <w:rsid w:val="0067382D"/>
    <w:rsid w:val="0067390A"/>
    <w:rsid w:val="006807BA"/>
    <w:rsid w:val="00680BE7"/>
    <w:rsid w:val="0068123E"/>
    <w:rsid w:val="00681684"/>
    <w:rsid w:val="0068225B"/>
    <w:rsid w:val="006823E0"/>
    <w:rsid w:val="006833E4"/>
    <w:rsid w:val="00683696"/>
    <w:rsid w:val="00685EFB"/>
    <w:rsid w:val="006864AF"/>
    <w:rsid w:val="0068716D"/>
    <w:rsid w:val="006874E0"/>
    <w:rsid w:val="006877D0"/>
    <w:rsid w:val="00687B92"/>
    <w:rsid w:val="00687CC5"/>
    <w:rsid w:val="006909E4"/>
    <w:rsid w:val="00690AB7"/>
    <w:rsid w:val="00691491"/>
    <w:rsid w:val="006916AA"/>
    <w:rsid w:val="00693067"/>
    <w:rsid w:val="00693578"/>
    <w:rsid w:val="006953F4"/>
    <w:rsid w:val="00696395"/>
    <w:rsid w:val="00696ACB"/>
    <w:rsid w:val="006A0780"/>
    <w:rsid w:val="006A0E95"/>
    <w:rsid w:val="006A5831"/>
    <w:rsid w:val="006A5AFA"/>
    <w:rsid w:val="006A7F40"/>
    <w:rsid w:val="006B137E"/>
    <w:rsid w:val="006B1D9C"/>
    <w:rsid w:val="006B3872"/>
    <w:rsid w:val="006B4C03"/>
    <w:rsid w:val="006B527E"/>
    <w:rsid w:val="006B5412"/>
    <w:rsid w:val="006B5CBC"/>
    <w:rsid w:val="006C072C"/>
    <w:rsid w:val="006C0C23"/>
    <w:rsid w:val="006C1299"/>
    <w:rsid w:val="006C1363"/>
    <w:rsid w:val="006C1663"/>
    <w:rsid w:val="006C19FF"/>
    <w:rsid w:val="006C3689"/>
    <w:rsid w:val="006C4CF1"/>
    <w:rsid w:val="006C5300"/>
    <w:rsid w:val="006C5C40"/>
    <w:rsid w:val="006C5E54"/>
    <w:rsid w:val="006C7783"/>
    <w:rsid w:val="006D0580"/>
    <w:rsid w:val="006D0A94"/>
    <w:rsid w:val="006D3625"/>
    <w:rsid w:val="006D5254"/>
    <w:rsid w:val="006D6C54"/>
    <w:rsid w:val="006D74D0"/>
    <w:rsid w:val="006D7D52"/>
    <w:rsid w:val="006E3406"/>
    <w:rsid w:val="006E46A5"/>
    <w:rsid w:val="006E6551"/>
    <w:rsid w:val="006E6A23"/>
    <w:rsid w:val="006F0365"/>
    <w:rsid w:val="006F06D9"/>
    <w:rsid w:val="006F2C7A"/>
    <w:rsid w:val="006F304E"/>
    <w:rsid w:val="006F3239"/>
    <w:rsid w:val="006F334D"/>
    <w:rsid w:val="006F40CE"/>
    <w:rsid w:val="006F43B3"/>
    <w:rsid w:val="006F43D4"/>
    <w:rsid w:val="006F45C8"/>
    <w:rsid w:val="006F5FD7"/>
    <w:rsid w:val="006F669B"/>
    <w:rsid w:val="006F7EC4"/>
    <w:rsid w:val="0070214A"/>
    <w:rsid w:val="007041F4"/>
    <w:rsid w:val="007058E8"/>
    <w:rsid w:val="0071242A"/>
    <w:rsid w:val="0071256C"/>
    <w:rsid w:val="00714642"/>
    <w:rsid w:val="00714F64"/>
    <w:rsid w:val="007164BB"/>
    <w:rsid w:val="007172BB"/>
    <w:rsid w:val="00717AA3"/>
    <w:rsid w:val="007208E1"/>
    <w:rsid w:val="007222CD"/>
    <w:rsid w:val="00730AE3"/>
    <w:rsid w:val="00733762"/>
    <w:rsid w:val="007343D1"/>
    <w:rsid w:val="0073470E"/>
    <w:rsid w:val="007367E4"/>
    <w:rsid w:val="007404C0"/>
    <w:rsid w:val="00740577"/>
    <w:rsid w:val="00741A0B"/>
    <w:rsid w:val="00741F6B"/>
    <w:rsid w:val="00742143"/>
    <w:rsid w:val="0074397D"/>
    <w:rsid w:val="00743AC6"/>
    <w:rsid w:val="007451EF"/>
    <w:rsid w:val="00745BD6"/>
    <w:rsid w:val="00746CE9"/>
    <w:rsid w:val="00747692"/>
    <w:rsid w:val="007532A2"/>
    <w:rsid w:val="0075494F"/>
    <w:rsid w:val="00755622"/>
    <w:rsid w:val="00756101"/>
    <w:rsid w:val="0075651C"/>
    <w:rsid w:val="00757A9D"/>
    <w:rsid w:val="00757E52"/>
    <w:rsid w:val="007611F0"/>
    <w:rsid w:val="007615BD"/>
    <w:rsid w:val="007639BC"/>
    <w:rsid w:val="00764F58"/>
    <w:rsid w:val="00766BD0"/>
    <w:rsid w:val="007724AB"/>
    <w:rsid w:val="00772937"/>
    <w:rsid w:val="007732ED"/>
    <w:rsid w:val="007741D4"/>
    <w:rsid w:val="007745A6"/>
    <w:rsid w:val="00775E9A"/>
    <w:rsid w:val="0078123A"/>
    <w:rsid w:val="00782205"/>
    <w:rsid w:val="00783202"/>
    <w:rsid w:val="00783BC6"/>
    <w:rsid w:val="00784A4C"/>
    <w:rsid w:val="0078617E"/>
    <w:rsid w:val="00796BED"/>
    <w:rsid w:val="007A24B4"/>
    <w:rsid w:val="007A2B10"/>
    <w:rsid w:val="007A38E3"/>
    <w:rsid w:val="007A41B5"/>
    <w:rsid w:val="007A4896"/>
    <w:rsid w:val="007A7175"/>
    <w:rsid w:val="007A7903"/>
    <w:rsid w:val="007B020A"/>
    <w:rsid w:val="007B03BA"/>
    <w:rsid w:val="007B03CC"/>
    <w:rsid w:val="007B1554"/>
    <w:rsid w:val="007B37A1"/>
    <w:rsid w:val="007B395D"/>
    <w:rsid w:val="007B5198"/>
    <w:rsid w:val="007B6988"/>
    <w:rsid w:val="007C0035"/>
    <w:rsid w:val="007C3F1D"/>
    <w:rsid w:val="007C4674"/>
    <w:rsid w:val="007C5A36"/>
    <w:rsid w:val="007C7EAD"/>
    <w:rsid w:val="007D0634"/>
    <w:rsid w:val="007D1164"/>
    <w:rsid w:val="007D2761"/>
    <w:rsid w:val="007D5F06"/>
    <w:rsid w:val="007D6588"/>
    <w:rsid w:val="007E0D45"/>
    <w:rsid w:val="007E141A"/>
    <w:rsid w:val="007E1659"/>
    <w:rsid w:val="007E1B49"/>
    <w:rsid w:val="007E2BC7"/>
    <w:rsid w:val="007E3427"/>
    <w:rsid w:val="007E6584"/>
    <w:rsid w:val="007E69B6"/>
    <w:rsid w:val="007E6C62"/>
    <w:rsid w:val="007E77E6"/>
    <w:rsid w:val="007F12EB"/>
    <w:rsid w:val="007F1B18"/>
    <w:rsid w:val="007F1DFD"/>
    <w:rsid w:val="007F532D"/>
    <w:rsid w:val="007F5610"/>
    <w:rsid w:val="007F5687"/>
    <w:rsid w:val="00800565"/>
    <w:rsid w:val="0080113B"/>
    <w:rsid w:val="00803B9A"/>
    <w:rsid w:val="00805479"/>
    <w:rsid w:val="00807232"/>
    <w:rsid w:val="008074F6"/>
    <w:rsid w:val="00810AC5"/>
    <w:rsid w:val="008113F0"/>
    <w:rsid w:val="00811974"/>
    <w:rsid w:val="008130D1"/>
    <w:rsid w:val="0081500D"/>
    <w:rsid w:val="0081666D"/>
    <w:rsid w:val="008167C9"/>
    <w:rsid w:val="00816863"/>
    <w:rsid w:val="00821F72"/>
    <w:rsid w:val="00822A78"/>
    <w:rsid w:val="008238F9"/>
    <w:rsid w:val="00825492"/>
    <w:rsid w:val="008254B0"/>
    <w:rsid w:val="00825C73"/>
    <w:rsid w:val="00826060"/>
    <w:rsid w:val="00826265"/>
    <w:rsid w:val="008263B8"/>
    <w:rsid w:val="00826E68"/>
    <w:rsid w:val="00827F42"/>
    <w:rsid w:val="00830E9E"/>
    <w:rsid w:val="00831BB9"/>
    <w:rsid w:val="00831E1E"/>
    <w:rsid w:val="0083228D"/>
    <w:rsid w:val="0083477E"/>
    <w:rsid w:val="00834DB9"/>
    <w:rsid w:val="00835C29"/>
    <w:rsid w:val="0083662C"/>
    <w:rsid w:val="008375A7"/>
    <w:rsid w:val="00840613"/>
    <w:rsid w:val="0084135C"/>
    <w:rsid w:val="00845FB6"/>
    <w:rsid w:val="00847415"/>
    <w:rsid w:val="00847F39"/>
    <w:rsid w:val="008501B0"/>
    <w:rsid w:val="008503BC"/>
    <w:rsid w:val="00850825"/>
    <w:rsid w:val="008523C9"/>
    <w:rsid w:val="00852B63"/>
    <w:rsid w:val="008530ED"/>
    <w:rsid w:val="0085439A"/>
    <w:rsid w:val="008550F3"/>
    <w:rsid w:val="00855B46"/>
    <w:rsid w:val="0085687B"/>
    <w:rsid w:val="00856ABC"/>
    <w:rsid w:val="008571BF"/>
    <w:rsid w:val="00861A7A"/>
    <w:rsid w:val="00861BAC"/>
    <w:rsid w:val="008632DF"/>
    <w:rsid w:val="00863BF9"/>
    <w:rsid w:val="00864A6E"/>
    <w:rsid w:val="00864C2C"/>
    <w:rsid w:val="008669E0"/>
    <w:rsid w:val="00866D0C"/>
    <w:rsid w:val="00870892"/>
    <w:rsid w:val="00871AF1"/>
    <w:rsid w:val="00873457"/>
    <w:rsid w:val="00874EEF"/>
    <w:rsid w:val="00876681"/>
    <w:rsid w:val="008771EA"/>
    <w:rsid w:val="008777E7"/>
    <w:rsid w:val="00877921"/>
    <w:rsid w:val="00877DA9"/>
    <w:rsid w:val="0088158C"/>
    <w:rsid w:val="00881F6D"/>
    <w:rsid w:val="00883E5F"/>
    <w:rsid w:val="008844EA"/>
    <w:rsid w:val="008847FE"/>
    <w:rsid w:val="00884BE0"/>
    <w:rsid w:val="00885665"/>
    <w:rsid w:val="00887FC9"/>
    <w:rsid w:val="008919EF"/>
    <w:rsid w:val="00894A8A"/>
    <w:rsid w:val="00895E30"/>
    <w:rsid w:val="00897793"/>
    <w:rsid w:val="008A0B24"/>
    <w:rsid w:val="008A4906"/>
    <w:rsid w:val="008A6129"/>
    <w:rsid w:val="008B0B24"/>
    <w:rsid w:val="008B273E"/>
    <w:rsid w:val="008B3EF5"/>
    <w:rsid w:val="008B5B80"/>
    <w:rsid w:val="008B6692"/>
    <w:rsid w:val="008B738B"/>
    <w:rsid w:val="008B7698"/>
    <w:rsid w:val="008B7CE7"/>
    <w:rsid w:val="008B7F26"/>
    <w:rsid w:val="008C1AD1"/>
    <w:rsid w:val="008C1D51"/>
    <w:rsid w:val="008C3779"/>
    <w:rsid w:val="008C3AA8"/>
    <w:rsid w:val="008C5A3A"/>
    <w:rsid w:val="008C5E5E"/>
    <w:rsid w:val="008C63AA"/>
    <w:rsid w:val="008C6F28"/>
    <w:rsid w:val="008C7D55"/>
    <w:rsid w:val="008D2ABF"/>
    <w:rsid w:val="008D2C69"/>
    <w:rsid w:val="008D308D"/>
    <w:rsid w:val="008D38CF"/>
    <w:rsid w:val="008D44F4"/>
    <w:rsid w:val="008D6875"/>
    <w:rsid w:val="008D6A93"/>
    <w:rsid w:val="008D7BD1"/>
    <w:rsid w:val="008E3039"/>
    <w:rsid w:val="008E4404"/>
    <w:rsid w:val="008E4D63"/>
    <w:rsid w:val="008E597A"/>
    <w:rsid w:val="008E6045"/>
    <w:rsid w:val="008E64C5"/>
    <w:rsid w:val="008F0219"/>
    <w:rsid w:val="008F2280"/>
    <w:rsid w:val="008F3AB6"/>
    <w:rsid w:val="008F412F"/>
    <w:rsid w:val="008F42B3"/>
    <w:rsid w:val="008F5A44"/>
    <w:rsid w:val="008F7300"/>
    <w:rsid w:val="008F74FC"/>
    <w:rsid w:val="008F7AA8"/>
    <w:rsid w:val="009005A7"/>
    <w:rsid w:val="00901076"/>
    <w:rsid w:val="00902F7B"/>
    <w:rsid w:val="0090360C"/>
    <w:rsid w:val="00904BFA"/>
    <w:rsid w:val="00904C37"/>
    <w:rsid w:val="009064D2"/>
    <w:rsid w:val="00907250"/>
    <w:rsid w:val="00911182"/>
    <w:rsid w:val="00911666"/>
    <w:rsid w:val="00912841"/>
    <w:rsid w:val="009128E5"/>
    <w:rsid w:val="00913E1A"/>
    <w:rsid w:val="0091418F"/>
    <w:rsid w:val="00914672"/>
    <w:rsid w:val="0091469B"/>
    <w:rsid w:val="00916973"/>
    <w:rsid w:val="00922CDF"/>
    <w:rsid w:val="00923D1B"/>
    <w:rsid w:val="00924558"/>
    <w:rsid w:val="009246EF"/>
    <w:rsid w:val="00925F52"/>
    <w:rsid w:val="00927EDA"/>
    <w:rsid w:val="009306AE"/>
    <w:rsid w:val="0093147D"/>
    <w:rsid w:val="009321D2"/>
    <w:rsid w:val="0093261A"/>
    <w:rsid w:val="009339F7"/>
    <w:rsid w:val="00936358"/>
    <w:rsid w:val="00937695"/>
    <w:rsid w:val="00937C42"/>
    <w:rsid w:val="009402B2"/>
    <w:rsid w:val="00940EE7"/>
    <w:rsid w:val="00941449"/>
    <w:rsid w:val="00941729"/>
    <w:rsid w:val="009417EB"/>
    <w:rsid w:val="00941EB1"/>
    <w:rsid w:val="009421CC"/>
    <w:rsid w:val="009439A8"/>
    <w:rsid w:val="00944687"/>
    <w:rsid w:val="009458E0"/>
    <w:rsid w:val="00945C3B"/>
    <w:rsid w:val="0094610D"/>
    <w:rsid w:val="00947247"/>
    <w:rsid w:val="00951FE8"/>
    <w:rsid w:val="009527BC"/>
    <w:rsid w:val="009527DC"/>
    <w:rsid w:val="009532EC"/>
    <w:rsid w:val="009535C5"/>
    <w:rsid w:val="0095443C"/>
    <w:rsid w:val="00955CDA"/>
    <w:rsid w:val="009615C3"/>
    <w:rsid w:val="00965530"/>
    <w:rsid w:val="009667B7"/>
    <w:rsid w:val="0096713E"/>
    <w:rsid w:val="0096763A"/>
    <w:rsid w:val="0097051D"/>
    <w:rsid w:val="00970CEE"/>
    <w:rsid w:val="009732F6"/>
    <w:rsid w:val="0097562F"/>
    <w:rsid w:val="00976A3B"/>
    <w:rsid w:val="00977E5E"/>
    <w:rsid w:val="009804E3"/>
    <w:rsid w:val="00981E2E"/>
    <w:rsid w:val="0098382A"/>
    <w:rsid w:val="00983869"/>
    <w:rsid w:val="00984D5F"/>
    <w:rsid w:val="00984FD5"/>
    <w:rsid w:val="009853AF"/>
    <w:rsid w:val="00985482"/>
    <w:rsid w:val="00986077"/>
    <w:rsid w:val="00987244"/>
    <w:rsid w:val="0098790B"/>
    <w:rsid w:val="00987BC5"/>
    <w:rsid w:val="00990054"/>
    <w:rsid w:val="00991510"/>
    <w:rsid w:val="00991AA1"/>
    <w:rsid w:val="009962A0"/>
    <w:rsid w:val="009963DC"/>
    <w:rsid w:val="009A0E7F"/>
    <w:rsid w:val="009A1B30"/>
    <w:rsid w:val="009A1FED"/>
    <w:rsid w:val="009A641A"/>
    <w:rsid w:val="009A68B3"/>
    <w:rsid w:val="009B1625"/>
    <w:rsid w:val="009B1FF6"/>
    <w:rsid w:val="009B204A"/>
    <w:rsid w:val="009B3323"/>
    <w:rsid w:val="009B3352"/>
    <w:rsid w:val="009B6488"/>
    <w:rsid w:val="009C1E35"/>
    <w:rsid w:val="009C278D"/>
    <w:rsid w:val="009C312B"/>
    <w:rsid w:val="009C3CE0"/>
    <w:rsid w:val="009C4369"/>
    <w:rsid w:val="009C4FD9"/>
    <w:rsid w:val="009C568D"/>
    <w:rsid w:val="009C6315"/>
    <w:rsid w:val="009C6EE5"/>
    <w:rsid w:val="009D0C9A"/>
    <w:rsid w:val="009D168F"/>
    <w:rsid w:val="009D286B"/>
    <w:rsid w:val="009D28E8"/>
    <w:rsid w:val="009D5615"/>
    <w:rsid w:val="009D57D3"/>
    <w:rsid w:val="009D6461"/>
    <w:rsid w:val="009D7CC3"/>
    <w:rsid w:val="009D7D9A"/>
    <w:rsid w:val="009E0BD9"/>
    <w:rsid w:val="009E20DB"/>
    <w:rsid w:val="009E2A0C"/>
    <w:rsid w:val="009E30D5"/>
    <w:rsid w:val="009E38F4"/>
    <w:rsid w:val="009E5597"/>
    <w:rsid w:val="009E7FA6"/>
    <w:rsid w:val="009F09E2"/>
    <w:rsid w:val="009F0F7D"/>
    <w:rsid w:val="009F17FD"/>
    <w:rsid w:val="009F2297"/>
    <w:rsid w:val="009F23F3"/>
    <w:rsid w:val="009F42C6"/>
    <w:rsid w:val="009F51E9"/>
    <w:rsid w:val="009F79D0"/>
    <w:rsid w:val="009F7A82"/>
    <w:rsid w:val="009F7FB7"/>
    <w:rsid w:val="00A01234"/>
    <w:rsid w:val="00A0273E"/>
    <w:rsid w:val="00A0319C"/>
    <w:rsid w:val="00A03324"/>
    <w:rsid w:val="00A045DB"/>
    <w:rsid w:val="00A04A74"/>
    <w:rsid w:val="00A05AD2"/>
    <w:rsid w:val="00A05E9C"/>
    <w:rsid w:val="00A0774E"/>
    <w:rsid w:val="00A10616"/>
    <w:rsid w:val="00A116FF"/>
    <w:rsid w:val="00A11ED4"/>
    <w:rsid w:val="00A12FA6"/>
    <w:rsid w:val="00A132B7"/>
    <w:rsid w:val="00A140A4"/>
    <w:rsid w:val="00A14B13"/>
    <w:rsid w:val="00A14C7A"/>
    <w:rsid w:val="00A15E24"/>
    <w:rsid w:val="00A202E7"/>
    <w:rsid w:val="00A20A97"/>
    <w:rsid w:val="00A226B8"/>
    <w:rsid w:val="00A23B3E"/>
    <w:rsid w:val="00A242A1"/>
    <w:rsid w:val="00A26542"/>
    <w:rsid w:val="00A3190E"/>
    <w:rsid w:val="00A31D0D"/>
    <w:rsid w:val="00A32D5B"/>
    <w:rsid w:val="00A34A3A"/>
    <w:rsid w:val="00A35A44"/>
    <w:rsid w:val="00A4115A"/>
    <w:rsid w:val="00A424F7"/>
    <w:rsid w:val="00A42E4B"/>
    <w:rsid w:val="00A43031"/>
    <w:rsid w:val="00A44C32"/>
    <w:rsid w:val="00A452C2"/>
    <w:rsid w:val="00A461A4"/>
    <w:rsid w:val="00A46771"/>
    <w:rsid w:val="00A46A55"/>
    <w:rsid w:val="00A508C1"/>
    <w:rsid w:val="00A53784"/>
    <w:rsid w:val="00A549B0"/>
    <w:rsid w:val="00A55195"/>
    <w:rsid w:val="00A55758"/>
    <w:rsid w:val="00A5658B"/>
    <w:rsid w:val="00A56601"/>
    <w:rsid w:val="00A56D94"/>
    <w:rsid w:val="00A57D96"/>
    <w:rsid w:val="00A607D3"/>
    <w:rsid w:val="00A63236"/>
    <w:rsid w:val="00A634F6"/>
    <w:rsid w:val="00A638D4"/>
    <w:rsid w:val="00A64A45"/>
    <w:rsid w:val="00A64BA5"/>
    <w:rsid w:val="00A6648A"/>
    <w:rsid w:val="00A7014A"/>
    <w:rsid w:val="00A72B22"/>
    <w:rsid w:val="00A73424"/>
    <w:rsid w:val="00A75233"/>
    <w:rsid w:val="00A76491"/>
    <w:rsid w:val="00A7687F"/>
    <w:rsid w:val="00A76E54"/>
    <w:rsid w:val="00A809DB"/>
    <w:rsid w:val="00A81699"/>
    <w:rsid w:val="00A82834"/>
    <w:rsid w:val="00A8474D"/>
    <w:rsid w:val="00A85394"/>
    <w:rsid w:val="00A87413"/>
    <w:rsid w:val="00A902C7"/>
    <w:rsid w:val="00A91CE2"/>
    <w:rsid w:val="00A92823"/>
    <w:rsid w:val="00A93B96"/>
    <w:rsid w:val="00A93FAF"/>
    <w:rsid w:val="00A94B12"/>
    <w:rsid w:val="00A94BCC"/>
    <w:rsid w:val="00A97337"/>
    <w:rsid w:val="00AA0C83"/>
    <w:rsid w:val="00AA2052"/>
    <w:rsid w:val="00AA35C0"/>
    <w:rsid w:val="00AA548B"/>
    <w:rsid w:val="00AA5533"/>
    <w:rsid w:val="00AA6671"/>
    <w:rsid w:val="00AA68F1"/>
    <w:rsid w:val="00AA6CB2"/>
    <w:rsid w:val="00AA7128"/>
    <w:rsid w:val="00AA7757"/>
    <w:rsid w:val="00AB0AC4"/>
    <w:rsid w:val="00AB209A"/>
    <w:rsid w:val="00AB3E96"/>
    <w:rsid w:val="00AB4094"/>
    <w:rsid w:val="00AB4C81"/>
    <w:rsid w:val="00AB5671"/>
    <w:rsid w:val="00AB5F0E"/>
    <w:rsid w:val="00AB65D7"/>
    <w:rsid w:val="00AB6AC4"/>
    <w:rsid w:val="00AB6C17"/>
    <w:rsid w:val="00AC06E9"/>
    <w:rsid w:val="00AC094C"/>
    <w:rsid w:val="00AC0A07"/>
    <w:rsid w:val="00AC2D28"/>
    <w:rsid w:val="00AC3A0A"/>
    <w:rsid w:val="00AC3C58"/>
    <w:rsid w:val="00AC3E63"/>
    <w:rsid w:val="00AC4AED"/>
    <w:rsid w:val="00AC72B9"/>
    <w:rsid w:val="00AC7A14"/>
    <w:rsid w:val="00AC7A7D"/>
    <w:rsid w:val="00AD15D6"/>
    <w:rsid w:val="00AD1AC5"/>
    <w:rsid w:val="00AD3FD2"/>
    <w:rsid w:val="00AD44C7"/>
    <w:rsid w:val="00AD4B35"/>
    <w:rsid w:val="00AD5504"/>
    <w:rsid w:val="00AD668D"/>
    <w:rsid w:val="00AD7CAA"/>
    <w:rsid w:val="00AE0B82"/>
    <w:rsid w:val="00AE0BFB"/>
    <w:rsid w:val="00AE1CAD"/>
    <w:rsid w:val="00AE31C8"/>
    <w:rsid w:val="00AE51E0"/>
    <w:rsid w:val="00AE541E"/>
    <w:rsid w:val="00AE576F"/>
    <w:rsid w:val="00AE5AA3"/>
    <w:rsid w:val="00AE6DB0"/>
    <w:rsid w:val="00AE77F9"/>
    <w:rsid w:val="00AF0C53"/>
    <w:rsid w:val="00AF1A2C"/>
    <w:rsid w:val="00AF3432"/>
    <w:rsid w:val="00AF4388"/>
    <w:rsid w:val="00AF620A"/>
    <w:rsid w:val="00AF695F"/>
    <w:rsid w:val="00AF73E0"/>
    <w:rsid w:val="00AF7CAB"/>
    <w:rsid w:val="00AF7F0F"/>
    <w:rsid w:val="00B0030F"/>
    <w:rsid w:val="00B006B8"/>
    <w:rsid w:val="00B0086A"/>
    <w:rsid w:val="00B01B84"/>
    <w:rsid w:val="00B026D5"/>
    <w:rsid w:val="00B04AF3"/>
    <w:rsid w:val="00B04D7F"/>
    <w:rsid w:val="00B04E09"/>
    <w:rsid w:val="00B0508A"/>
    <w:rsid w:val="00B05435"/>
    <w:rsid w:val="00B05DCD"/>
    <w:rsid w:val="00B073EB"/>
    <w:rsid w:val="00B07416"/>
    <w:rsid w:val="00B07E7E"/>
    <w:rsid w:val="00B10140"/>
    <w:rsid w:val="00B10F18"/>
    <w:rsid w:val="00B11760"/>
    <w:rsid w:val="00B1240E"/>
    <w:rsid w:val="00B13557"/>
    <w:rsid w:val="00B13B32"/>
    <w:rsid w:val="00B14509"/>
    <w:rsid w:val="00B148C1"/>
    <w:rsid w:val="00B15BBA"/>
    <w:rsid w:val="00B15F6A"/>
    <w:rsid w:val="00B22787"/>
    <w:rsid w:val="00B2280F"/>
    <w:rsid w:val="00B22BB1"/>
    <w:rsid w:val="00B22C30"/>
    <w:rsid w:val="00B23187"/>
    <w:rsid w:val="00B241C6"/>
    <w:rsid w:val="00B24794"/>
    <w:rsid w:val="00B26183"/>
    <w:rsid w:val="00B274D6"/>
    <w:rsid w:val="00B27FFC"/>
    <w:rsid w:val="00B30344"/>
    <w:rsid w:val="00B30667"/>
    <w:rsid w:val="00B309DC"/>
    <w:rsid w:val="00B322FF"/>
    <w:rsid w:val="00B325D6"/>
    <w:rsid w:val="00B32EA7"/>
    <w:rsid w:val="00B34014"/>
    <w:rsid w:val="00B343C4"/>
    <w:rsid w:val="00B348E3"/>
    <w:rsid w:val="00B35CE7"/>
    <w:rsid w:val="00B36CA6"/>
    <w:rsid w:val="00B36E70"/>
    <w:rsid w:val="00B407B1"/>
    <w:rsid w:val="00B40FB7"/>
    <w:rsid w:val="00B42C8B"/>
    <w:rsid w:val="00B42FA9"/>
    <w:rsid w:val="00B4325D"/>
    <w:rsid w:val="00B43D2E"/>
    <w:rsid w:val="00B4403C"/>
    <w:rsid w:val="00B4423A"/>
    <w:rsid w:val="00B447D3"/>
    <w:rsid w:val="00B45093"/>
    <w:rsid w:val="00B45BD6"/>
    <w:rsid w:val="00B46BF6"/>
    <w:rsid w:val="00B47CAC"/>
    <w:rsid w:val="00B52BB5"/>
    <w:rsid w:val="00B54597"/>
    <w:rsid w:val="00B554F3"/>
    <w:rsid w:val="00B56F95"/>
    <w:rsid w:val="00B57553"/>
    <w:rsid w:val="00B60A71"/>
    <w:rsid w:val="00B6224F"/>
    <w:rsid w:val="00B62544"/>
    <w:rsid w:val="00B63AE7"/>
    <w:rsid w:val="00B63C61"/>
    <w:rsid w:val="00B644C8"/>
    <w:rsid w:val="00B65333"/>
    <w:rsid w:val="00B70660"/>
    <w:rsid w:val="00B71729"/>
    <w:rsid w:val="00B72E70"/>
    <w:rsid w:val="00B73059"/>
    <w:rsid w:val="00B73E5A"/>
    <w:rsid w:val="00B748F1"/>
    <w:rsid w:val="00B74DC0"/>
    <w:rsid w:val="00B7678D"/>
    <w:rsid w:val="00B76ED3"/>
    <w:rsid w:val="00B80BF3"/>
    <w:rsid w:val="00B82389"/>
    <w:rsid w:val="00B82AD2"/>
    <w:rsid w:val="00B83752"/>
    <w:rsid w:val="00B83F31"/>
    <w:rsid w:val="00B8561C"/>
    <w:rsid w:val="00B86E96"/>
    <w:rsid w:val="00B91C96"/>
    <w:rsid w:val="00B923F4"/>
    <w:rsid w:val="00B92C8C"/>
    <w:rsid w:val="00B92E8D"/>
    <w:rsid w:val="00B944AA"/>
    <w:rsid w:val="00B9498C"/>
    <w:rsid w:val="00B94E1C"/>
    <w:rsid w:val="00B960DF"/>
    <w:rsid w:val="00B965B1"/>
    <w:rsid w:val="00B9690A"/>
    <w:rsid w:val="00BA01C9"/>
    <w:rsid w:val="00BA1D44"/>
    <w:rsid w:val="00BA5461"/>
    <w:rsid w:val="00BA6FAB"/>
    <w:rsid w:val="00BB0B30"/>
    <w:rsid w:val="00BB0E4A"/>
    <w:rsid w:val="00BB13A7"/>
    <w:rsid w:val="00BB52C6"/>
    <w:rsid w:val="00BB7D49"/>
    <w:rsid w:val="00BC219C"/>
    <w:rsid w:val="00BC2589"/>
    <w:rsid w:val="00BC2FBC"/>
    <w:rsid w:val="00BC398A"/>
    <w:rsid w:val="00BC3C88"/>
    <w:rsid w:val="00BC3D43"/>
    <w:rsid w:val="00BC7446"/>
    <w:rsid w:val="00BC7887"/>
    <w:rsid w:val="00BC7DE8"/>
    <w:rsid w:val="00BD06A0"/>
    <w:rsid w:val="00BD06BF"/>
    <w:rsid w:val="00BD2358"/>
    <w:rsid w:val="00BD3D79"/>
    <w:rsid w:val="00BD47F4"/>
    <w:rsid w:val="00BD4B34"/>
    <w:rsid w:val="00BD5584"/>
    <w:rsid w:val="00BD6CE5"/>
    <w:rsid w:val="00BD7862"/>
    <w:rsid w:val="00BE09A5"/>
    <w:rsid w:val="00BE0CFC"/>
    <w:rsid w:val="00BE15DE"/>
    <w:rsid w:val="00BE248F"/>
    <w:rsid w:val="00BE30A4"/>
    <w:rsid w:val="00BE5337"/>
    <w:rsid w:val="00BE5CAB"/>
    <w:rsid w:val="00BE7D23"/>
    <w:rsid w:val="00BE7EBD"/>
    <w:rsid w:val="00BF0A00"/>
    <w:rsid w:val="00BF30EA"/>
    <w:rsid w:val="00BF3156"/>
    <w:rsid w:val="00C02A26"/>
    <w:rsid w:val="00C03253"/>
    <w:rsid w:val="00C03D7C"/>
    <w:rsid w:val="00C03DEB"/>
    <w:rsid w:val="00C040F9"/>
    <w:rsid w:val="00C05361"/>
    <w:rsid w:val="00C06A2D"/>
    <w:rsid w:val="00C06C36"/>
    <w:rsid w:val="00C07B04"/>
    <w:rsid w:val="00C106AE"/>
    <w:rsid w:val="00C12918"/>
    <w:rsid w:val="00C13001"/>
    <w:rsid w:val="00C133F3"/>
    <w:rsid w:val="00C145AA"/>
    <w:rsid w:val="00C15661"/>
    <w:rsid w:val="00C179DC"/>
    <w:rsid w:val="00C236CC"/>
    <w:rsid w:val="00C25785"/>
    <w:rsid w:val="00C25C06"/>
    <w:rsid w:val="00C2678D"/>
    <w:rsid w:val="00C26A8A"/>
    <w:rsid w:val="00C273E9"/>
    <w:rsid w:val="00C27762"/>
    <w:rsid w:val="00C301E8"/>
    <w:rsid w:val="00C324FD"/>
    <w:rsid w:val="00C3252E"/>
    <w:rsid w:val="00C32C44"/>
    <w:rsid w:val="00C33506"/>
    <w:rsid w:val="00C33FD8"/>
    <w:rsid w:val="00C36987"/>
    <w:rsid w:val="00C36F1A"/>
    <w:rsid w:val="00C3744C"/>
    <w:rsid w:val="00C4018E"/>
    <w:rsid w:val="00C40482"/>
    <w:rsid w:val="00C408F0"/>
    <w:rsid w:val="00C40BEB"/>
    <w:rsid w:val="00C420E2"/>
    <w:rsid w:val="00C42D29"/>
    <w:rsid w:val="00C45768"/>
    <w:rsid w:val="00C46526"/>
    <w:rsid w:val="00C50C6B"/>
    <w:rsid w:val="00C512B4"/>
    <w:rsid w:val="00C534EC"/>
    <w:rsid w:val="00C54EE9"/>
    <w:rsid w:val="00C55509"/>
    <w:rsid w:val="00C55D3A"/>
    <w:rsid w:val="00C57208"/>
    <w:rsid w:val="00C632E1"/>
    <w:rsid w:val="00C64FA1"/>
    <w:rsid w:val="00C64FD4"/>
    <w:rsid w:val="00C67A6C"/>
    <w:rsid w:val="00C70D12"/>
    <w:rsid w:val="00C72A39"/>
    <w:rsid w:val="00C72D35"/>
    <w:rsid w:val="00C72F18"/>
    <w:rsid w:val="00C76538"/>
    <w:rsid w:val="00C80DA7"/>
    <w:rsid w:val="00C81D67"/>
    <w:rsid w:val="00C82221"/>
    <w:rsid w:val="00C82C87"/>
    <w:rsid w:val="00C82F89"/>
    <w:rsid w:val="00C85547"/>
    <w:rsid w:val="00C8732B"/>
    <w:rsid w:val="00C9262A"/>
    <w:rsid w:val="00C92EAF"/>
    <w:rsid w:val="00C93195"/>
    <w:rsid w:val="00C932E9"/>
    <w:rsid w:val="00C9347B"/>
    <w:rsid w:val="00C93A64"/>
    <w:rsid w:val="00C95E03"/>
    <w:rsid w:val="00C95FFF"/>
    <w:rsid w:val="00C96412"/>
    <w:rsid w:val="00CA13CE"/>
    <w:rsid w:val="00CA2D3A"/>
    <w:rsid w:val="00CA3547"/>
    <w:rsid w:val="00CA4574"/>
    <w:rsid w:val="00CA4886"/>
    <w:rsid w:val="00CA4CE3"/>
    <w:rsid w:val="00CA5107"/>
    <w:rsid w:val="00CB07D7"/>
    <w:rsid w:val="00CB0A51"/>
    <w:rsid w:val="00CB0CA5"/>
    <w:rsid w:val="00CB1C5E"/>
    <w:rsid w:val="00CB2A88"/>
    <w:rsid w:val="00CB43F4"/>
    <w:rsid w:val="00CB5E50"/>
    <w:rsid w:val="00CB6241"/>
    <w:rsid w:val="00CB6CB4"/>
    <w:rsid w:val="00CB728B"/>
    <w:rsid w:val="00CC04F8"/>
    <w:rsid w:val="00CC1E6F"/>
    <w:rsid w:val="00CC2EE9"/>
    <w:rsid w:val="00CC376F"/>
    <w:rsid w:val="00CC4CA1"/>
    <w:rsid w:val="00CC5EC6"/>
    <w:rsid w:val="00CC6A94"/>
    <w:rsid w:val="00CC6BFB"/>
    <w:rsid w:val="00CC7099"/>
    <w:rsid w:val="00CC7F19"/>
    <w:rsid w:val="00CD0051"/>
    <w:rsid w:val="00CD16FA"/>
    <w:rsid w:val="00CD1BFA"/>
    <w:rsid w:val="00CD1C61"/>
    <w:rsid w:val="00CD3626"/>
    <w:rsid w:val="00CD4234"/>
    <w:rsid w:val="00CD4441"/>
    <w:rsid w:val="00CD47E4"/>
    <w:rsid w:val="00CD5588"/>
    <w:rsid w:val="00CD57C5"/>
    <w:rsid w:val="00CD57F6"/>
    <w:rsid w:val="00CD5AD7"/>
    <w:rsid w:val="00CD6613"/>
    <w:rsid w:val="00CD78B9"/>
    <w:rsid w:val="00CE09B0"/>
    <w:rsid w:val="00CE09C7"/>
    <w:rsid w:val="00CE0B4D"/>
    <w:rsid w:val="00CE0D43"/>
    <w:rsid w:val="00CE146E"/>
    <w:rsid w:val="00CE1F6A"/>
    <w:rsid w:val="00CE32F9"/>
    <w:rsid w:val="00CE3DFB"/>
    <w:rsid w:val="00CE4500"/>
    <w:rsid w:val="00CE45ED"/>
    <w:rsid w:val="00CE64A4"/>
    <w:rsid w:val="00CE769B"/>
    <w:rsid w:val="00CF065E"/>
    <w:rsid w:val="00CF1BDB"/>
    <w:rsid w:val="00CF1F1E"/>
    <w:rsid w:val="00CF2DBD"/>
    <w:rsid w:val="00CF3F58"/>
    <w:rsid w:val="00CF530E"/>
    <w:rsid w:val="00CF5806"/>
    <w:rsid w:val="00CF645E"/>
    <w:rsid w:val="00CF719E"/>
    <w:rsid w:val="00CF7678"/>
    <w:rsid w:val="00CF76C5"/>
    <w:rsid w:val="00CF7E21"/>
    <w:rsid w:val="00D004D6"/>
    <w:rsid w:val="00D00A81"/>
    <w:rsid w:val="00D01F53"/>
    <w:rsid w:val="00D038D0"/>
    <w:rsid w:val="00D04EE1"/>
    <w:rsid w:val="00D05A77"/>
    <w:rsid w:val="00D073DF"/>
    <w:rsid w:val="00D10763"/>
    <w:rsid w:val="00D11E96"/>
    <w:rsid w:val="00D12AEA"/>
    <w:rsid w:val="00D14A78"/>
    <w:rsid w:val="00D154A1"/>
    <w:rsid w:val="00D15DDF"/>
    <w:rsid w:val="00D16A92"/>
    <w:rsid w:val="00D174DD"/>
    <w:rsid w:val="00D17CA9"/>
    <w:rsid w:val="00D20F54"/>
    <w:rsid w:val="00D21BC0"/>
    <w:rsid w:val="00D224E8"/>
    <w:rsid w:val="00D227BB"/>
    <w:rsid w:val="00D252E0"/>
    <w:rsid w:val="00D25D95"/>
    <w:rsid w:val="00D279AF"/>
    <w:rsid w:val="00D30416"/>
    <w:rsid w:val="00D30ED3"/>
    <w:rsid w:val="00D31796"/>
    <w:rsid w:val="00D31819"/>
    <w:rsid w:val="00D31DFD"/>
    <w:rsid w:val="00D325C0"/>
    <w:rsid w:val="00D34D9B"/>
    <w:rsid w:val="00D35F6E"/>
    <w:rsid w:val="00D36AA3"/>
    <w:rsid w:val="00D40D5B"/>
    <w:rsid w:val="00D42D64"/>
    <w:rsid w:val="00D43AE7"/>
    <w:rsid w:val="00D44114"/>
    <w:rsid w:val="00D458C9"/>
    <w:rsid w:val="00D46505"/>
    <w:rsid w:val="00D52016"/>
    <w:rsid w:val="00D52ED6"/>
    <w:rsid w:val="00D548C6"/>
    <w:rsid w:val="00D549DB"/>
    <w:rsid w:val="00D55933"/>
    <w:rsid w:val="00D55C27"/>
    <w:rsid w:val="00D5644D"/>
    <w:rsid w:val="00D63B3F"/>
    <w:rsid w:val="00D63DBE"/>
    <w:rsid w:val="00D65D84"/>
    <w:rsid w:val="00D65FC3"/>
    <w:rsid w:val="00D73A54"/>
    <w:rsid w:val="00D73B1C"/>
    <w:rsid w:val="00D74AB9"/>
    <w:rsid w:val="00D773A9"/>
    <w:rsid w:val="00D82198"/>
    <w:rsid w:val="00D84851"/>
    <w:rsid w:val="00D84D7F"/>
    <w:rsid w:val="00D84E4E"/>
    <w:rsid w:val="00D85221"/>
    <w:rsid w:val="00D85394"/>
    <w:rsid w:val="00D8704E"/>
    <w:rsid w:val="00D90C3A"/>
    <w:rsid w:val="00D9122F"/>
    <w:rsid w:val="00D914AF"/>
    <w:rsid w:val="00D92DBA"/>
    <w:rsid w:val="00D93910"/>
    <w:rsid w:val="00D947F6"/>
    <w:rsid w:val="00DA0212"/>
    <w:rsid w:val="00DA0E48"/>
    <w:rsid w:val="00DA2EFB"/>
    <w:rsid w:val="00DA3574"/>
    <w:rsid w:val="00DA476B"/>
    <w:rsid w:val="00DA4E6D"/>
    <w:rsid w:val="00DA51CC"/>
    <w:rsid w:val="00DA54E5"/>
    <w:rsid w:val="00DA5610"/>
    <w:rsid w:val="00DA5646"/>
    <w:rsid w:val="00DA5C6F"/>
    <w:rsid w:val="00DA6B1D"/>
    <w:rsid w:val="00DA73AD"/>
    <w:rsid w:val="00DA774B"/>
    <w:rsid w:val="00DA7BF0"/>
    <w:rsid w:val="00DB113B"/>
    <w:rsid w:val="00DB2547"/>
    <w:rsid w:val="00DB2754"/>
    <w:rsid w:val="00DB3AD0"/>
    <w:rsid w:val="00DB3C54"/>
    <w:rsid w:val="00DB413C"/>
    <w:rsid w:val="00DB4313"/>
    <w:rsid w:val="00DB643D"/>
    <w:rsid w:val="00DC1E54"/>
    <w:rsid w:val="00DC2B0C"/>
    <w:rsid w:val="00DC2E19"/>
    <w:rsid w:val="00DC44CA"/>
    <w:rsid w:val="00DC6B59"/>
    <w:rsid w:val="00DC6F62"/>
    <w:rsid w:val="00DC787A"/>
    <w:rsid w:val="00DC7E35"/>
    <w:rsid w:val="00DC7F53"/>
    <w:rsid w:val="00DD039F"/>
    <w:rsid w:val="00DD1AE9"/>
    <w:rsid w:val="00DD1DE3"/>
    <w:rsid w:val="00DD7083"/>
    <w:rsid w:val="00DD7CCA"/>
    <w:rsid w:val="00DE0111"/>
    <w:rsid w:val="00DE0F17"/>
    <w:rsid w:val="00DE15E6"/>
    <w:rsid w:val="00DE1CC4"/>
    <w:rsid w:val="00DE2548"/>
    <w:rsid w:val="00DE3409"/>
    <w:rsid w:val="00DE620C"/>
    <w:rsid w:val="00DE635E"/>
    <w:rsid w:val="00DE77C7"/>
    <w:rsid w:val="00DE7D26"/>
    <w:rsid w:val="00DF2BDC"/>
    <w:rsid w:val="00DF2CEB"/>
    <w:rsid w:val="00DF31EA"/>
    <w:rsid w:val="00DF5219"/>
    <w:rsid w:val="00DF5338"/>
    <w:rsid w:val="00DF68F1"/>
    <w:rsid w:val="00DF7328"/>
    <w:rsid w:val="00DF7827"/>
    <w:rsid w:val="00E017D8"/>
    <w:rsid w:val="00E03437"/>
    <w:rsid w:val="00E03C25"/>
    <w:rsid w:val="00E04898"/>
    <w:rsid w:val="00E052B5"/>
    <w:rsid w:val="00E05643"/>
    <w:rsid w:val="00E05EAF"/>
    <w:rsid w:val="00E11578"/>
    <w:rsid w:val="00E12141"/>
    <w:rsid w:val="00E12B65"/>
    <w:rsid w:val="00E132E3"/>
    <w:rsid w:val="00E13963"/>
    <w:rsid w:val="00E1471B"/>
    <w:rsid w:val="00E14AA0"/>
    <w:rsid w:val="00E14CB8"/>
    <w:rsid w:val="00E14CE1"/>
    <w:rsid w:val="00E14EDA"/>
    <w:rsid w:val="00E15877"/>
    <w:rsid w:val="00E15904"/>
    <w:rsid w:val="00E2048A"/>
    <w:rsid w:val="00E2116F"/>
    <w:rsid w:val="00E21C3A"/>
    <w:rsid w:val="00E23A4F"/>
    <w:rsid w:val="00E245D2"/>
    <w:rsid w:val="00E25789"/>
    <w:rsid w:val="00E25E36"/>
    <w:rsid w:val="00E26662"/>
    <w:rsid w:val="00E276C1"/>
    <w:rsid w:val="00E3009E"/>
    <w:rsid w:val="00E306CE"/>
    <w:rsid w:val="00E3326B"/>
    <w:rsid w:val="00E3343F"/>
    <w:rsid w:val="00E344F9"/>
    <w:rsid w:val="00E35A43"/>
    <w:rsid w:val="00E3672B"/>
    <w:rsid w:val="00E367E7"/>
    <w:rsid w:val="00E430C8"/>
    <w:rsid w:val="00E43143"/>
    <w:rsid w:val="00E4510A"/>
    <w:rsid w:val="00E503D6"/>
    <w:rsid w:val="00E50CC7"/>
    <w:rsid w:val="00E51D4D"/>
    <w:rsid w:val="00E52905"/>
    <w:rsid w:val="00E5335E"/>
    <w:rsid w:val="00E5421C"/>
    <w:rsid w:val="00E543A5"/>
    <w:rsid w:val="00E570AC"/>
    <w:rsid w:val="00E573D4"/>
    <w:rsid w:val="00E62A4D"/>
    <w:rsid w:val="00E635E4"/>
    <w:rsid w:val="00E65109"/>
    <w:rsid w:val="00E65B84"/>
    <w:rsid w:val="00E67C1F"/>
    <w:rsid w:val="00E716DC"/>
    <w:rsid w:val="00E721FA"/>
    <w:rsid w:val="00E727EC"/>
    <w:rsid w:val="00E7338D"/>
    <w:rsid w:val="00E746AB"/>
    <w:rsid w:val="00E75BFF"/>
    <w:rsid w:val="00E84197"/>
    <w:rsid w:val="00E84848"/>
    <w:rsid w:val="00E85189"/>
    <w:rsid w:val="00E85B66"/>
    <w:rsid w:val="00E876CB"/>
    <w:rsid w:val="00E90413"/>
    <w:rsid w:val="00E91EB3"/>
    <w:rsid w:val="00E922AB"/>
    <w:rsid w:val="00E961E3"/>
    <w:rsid w:val="00E96369"/>
    <w:rsid w:val="00E963FC"/>
    <w:rsid w:val="00E96B66"/>
    <w:rsid w:val="00E97901"/>
    <w:rsid w:val="00E97A76"/>
    <w:rsid w:val="00EA0C24"/>
    <w:rsid w:val="00EA1CAC"/>
    <w:rsid w:val="00EA299D"/>
    <w:rsid w:val="00EA6B18"/>
    <w:rsid w:val="00EB068A"/>
    <w:rsid w:val="00EB239F"/>
    <w:rsid w:val="00EB293D"/>
    <w:rsid w:val="00EB3A1D"/>
    <w:rsid w:val="00EB5069"/>
    <w:rsid w:val="00EB5813"/>
    <w:rsid w:val="00EB5FE5"/>
    <w:rsid w:val="00EB7B8D"/>
    <w:rsid w:val="00EC05F8"/>
    <w:rsid w:val="00EC15B9"/>
    <w:rsid w:val="00EC25AB"/>
    <w:rsid w:val="00EC2B35"/>
    <w:rsid w:val="00EC3D08"/>
    <w:rsid w:val="00EC3DBC"/>
    <w:rsid w:val="00EC6CB8"/>
    <w:rsid w:val="00ED27A7"/>
    <w:rsid w:val="00ED305A"/>
    <w:rsid w:val="00ED6AC1"/>
    <w:rsid w:val="00EE1817"/>
    <w:rsid w:val="00EE2CEB"/>
    <w:rsid w:val="00EE2DBF"/>
    <w:rsid w:val="00EE30AB"/>
    <w:rsid w:val="00EE4FEB"/>
    <w:rsid w:val="00EE5C6C"/>
    <w:rsid w:val="00EE75D5"/>
    <w:rsid w:val="00EE772E"/>
    <w:rsid w:val="00EF012E"/>
    <w:rsid w:val="00EF0374"/>
    <w:rsid w:val="00EF1764"/>
    <w:rsid w:val="00EF2FA9"/>
    <w:rsid w:val="00EF3A66"/>
    <w:rsid w:val="00EF48AD"/>
    <w:rsid w:val="00EF5CAF"/>
    <w:rsid w:val="00EF6AD4"/>
    <w:rsid w:val="00F013D2"/>
    <w:rsid w:val="00F040EC"/>
    <w:rsid w:val="00F062B2"/>
    <w:rsid w:val="00F06AB6"/>
    <w:rsid w:val="00F06C6F"/>
    <w:rsid w:val="00F06FE2"/>
    <w:rsid w:val="00F12C4B"/>
    <w:rsid w:val="00F142F9"/>
    <w:rsid w:val="00F146B6"/>
    <w:rsid w:val="00F14B54"/>
    <w:rsid w:val="00F167CF"/>
    <w:rsid w:val="00F168FC"/>
    <w:rsid w:val="00F16B2C"/>
    <w:rsid w:val="00F1783C"/>
    <w:rsid w:val="00F21501"/>
    <w:rsid w:val="00F21D9A"/>
    <w:rsid w:val="00F24010"/>
    <w:rsid w:val="00F24413"/>
    <w:rsid w:val="00F244B4"/>
    <w:rsid w:val="00F25454"/>
    <w:rsid w:val="00F25A36"/>
    <w:rsid w:val="00F25A67"/>
    <w:rsid w:val="00F25E31"/>
    <w:rsid w:val="00F2639B"/>
    <w:rsid w:val="00F27F53"/>
    <w:rsid w:val="00F31CA0"/>
    <w:rsid w:val="00F32258"/>
    <w:rsid w:val="00F329BC"/>
    <w:rsid w:val="00F33761"/>
    <w:rsid w:val="00F34995"/>
    <w:rsid w:val="00F353B4"/>
    <w:rsid w:val="00F36526"/>
    <w:rsid w:val="00F37466"/>
    <w:rsid w:val="00F4178C"/>
    <w:rsid w:val="00F45085"/>
    <w:rsid w:val="00F454BC"/>
    <w:rsid w:val="00F458EA"/>
    <w:rsid w:val="00F4637E"/>
    <w:rsid w:val="00F46B56"/>
    <w:rsid w:val="00F47876"/>
    <w:rsid w:val="00F50ACD"/>
    <w:rsid w:val="00F50EBB"/>
    <w:rsid w:val="00F51AED"/>
    <w:rsid w:val="00F51DE2"/>
    <w:rsid w:val="00F52E24"/>
    <w:rsid w:val="00F5346C"/>
    <w:rsid w:val="00F534DC"/>
    <w:rsid w:val="00F5357A"/>
    <w:rsid w:val="00F538A0"/>
    <w:rsid w:val="00F5580D"/>
    <w:rsid w:val="00F56057"/>
    <w:rsid w:val="00F56F37"/>
    <w:rsid w:val="00F57438"/>
    <w:rsid w:val="00F6099C"/>
    <w:rsid w:val="00F619F6"/>
    <w:rsid w:val="00F62B1E"/>
    <w:rsid w:val="00F63C95"/>
    <w:rsid w:val="00F6427A"/>
    <w:rsid w:val="00F64B9F"/>
    <w:rsid w:val="00F65A2D"/>
    <w:rsid w:val="00F6633A"/>
    <w:rsid w:val="00F6729A"/>
    <w:rsid w:val="00F67511"/>
    <w:rsid w:val="00F72567"/>
    <w:rsid w:val="00F727D3"/>
    <w:rsid w:val="00F729C7"/>
    <w:rsid w:val="00F73697"/>
    <w:rsid w:val="00F739F4"/>
    <w:rsid w:val="00F73C39"/>
    <w:rsid w:val="00F76A45"/>
    <w:rsid w:val="00F77908"/>
    <w:rsid w:val="00F8025B"/>
    <w:rsid w:val="00F81690"/>
    <w:rsid w:val="00F82F4E"/>
    <w:rsid w:val="00F83733"/>
    <w:rsid w:val="00F8474F"/>
    <w:rsid w:val="00F85D06"/>
    <w:rsid w:val="00F86A95"/>
    <w:rsid w:val="00F87238"/>
    <w:rsid w:val="00F87426"/>
    <w:rsid w:val="00F87815"/>
    <w:rsid w:val="00F87CC0"/>
    <w:rsid w:val="00F902EF"/>
    <w:rsid w:val="00F90BC2"/>
    <w:rsid w:val="00F93C61"/>
    <w:rsid w:val="00F94C25"/>
    <w:rsid w:val="00F95D61"/>
    <w:rsid w:val="00F966A0"/>
    <w:rsid w:val="00F97393"/>
    <w:rsid w:val="00FA02E1"/>
    <w:rsid w:val="00FA12FB"/>
    <w:rsid w:val="00FA1412"/>
    <w:rsid w:val="00FA1F90"/>
    <w:rsid w:val="00FA67A3"/>
    <w:rsid w:val="00FA68A9"/>
    <w:rsid w:val="00FA6A8B"/>
    <w:rsid w:val="00FA7AF3"/>
    <w:rsid w:val="00FB18AD"/>
    <w:rsid w:val="00FB4B96"/>
    <w:rsid w:val="00FB5959"/>
    <w:rsid w:val="00FB5D59"/>
    <w:rsid w:val="00FB6053"/>
    <w:rsid w:val="00FB719D"/>
    <w:rsid w:val="00FC0C41"/>
    <w:rsid w:val="00FC1F77"/>
    <w:rsid w:val="00FC40E4"/>
    <w:rsid w:val="00FC52D3"/>
    <w:rsid w:val="00FC5C3F"/>
    <w:rsid w:val="00FC6014"/>
    <w:rsid w:val="00FD2102"/>
    <w:rsid w:val="00FD2932"/>
    <w:rsid w:val="00FD357F"/>
    <w:rsid w:val="00FD4352"/>
    <w:rsid w:val="00FD45F0"/>
    <w:rsid w:val="00FE00CF"/>
    <w:rsid w:val="00FE1994"/>
    <w:rsid w:val="00FE2992"/>
    <w:rsid w:val="00FE2C37"/>
    <w:rsid w:val="00FE3484"/>
    <w:rsid w:val="00FE3636"/>
    <w:rsid w:val="00FE420E"/>
    <w:rsid w:val="00FE61BA"/>
    <w:rsid w:val="00FE663F"/>
    <w:rsid w:val="00FE7E2B"/>
    <w:rsid w:val="00FF02D8"/>
    <w:rsid w:val="00FF03FB"/>
    <w:rsid w:val="00FF051C"/>
    <w:rsid w:val="00FF08D0"/>
    <w:rsid w:val="00FF0CC1"/>
    <w:rsid w:val="00FF1DEC"/>
    <w:rsid w:val="00FF267C"/>
    <w:rsid w:val="00FF359E"/>
    <w:rsid w:val="00FF5FC4"/>
    <w:rsid w:val="06075FB4"/>
    <w:rsid w:val="07A27D60"/>
    <w:rsid w:val="08136589"/>
    <w:rsid w:val="08586FC6"/>
    <w:rsid w:val="0A997F64"/>
    <w:rsid w:val="0BB55A4F"/>
    <w:rsid w:val="164320C3"/>
    <w:rsid w:val="1C8F32EB"/>
    <w:rsid w:val="1ED31E5E"/>
    <w:rsid w:val="22822277"/>
    <w:rsid w:val="22D60A1C"/>
    <w:rsid w:val="22DF587F"/>
    <w:rsid w:val="24EE0B6E"/>
    <w:rsid w:val="258023E0"/>
    <w:rsid w:val="25D467F6"/>
    <w:rsid w:val="26156F17"/>
    <w:rsid w:val="274D4672"/>
    <w:rsid w:val="28E5224F"/>
    <w:rsid w:val="2B071857"/>
    <w:rsid w:val="301523C9"/>
    <w:rsid w:val="399605D5"/>
    <w:rsid w:val="3B7F6014"/>
    <w:rsid w:val="3E1917B8"/>
    <w:rsid w:val="42773498"/>
    <w:rsid w:val="430A729F"/>
    <w:rsid w:val="49C72EBB"/>
    <w:rsid w:val="4A3E0B4A"/>
    <w:rsid w:val="51001DA2"/>
    <w:rsid w:val="51CF6DAD"/>
    <w:rsid w:val="561D20F8"/>
    <w:rsid w:val="589417F5"/>
    <w:rsid w:val="58D34AA6"/>
    <w:rsid w:val="59587F0A"/>
    <w:rsid w:val="5D6F65F0"/>
    <w:rsid w:val="5D7D0589"/>
    <w:rsid w:val="604F11C1"/>
    <w:rsid w:val="63685016"/>
    <w:rsid w:val="6400340B"/>
    <w:rsid w:val="681C156A"/>
    <w:rsid w:val="68B1264D"/>
    <w:rsid w:val="6B052A18"/>
    <w:rsid w:val="6BB246B4"/>
    <w:rsid w:val="6C6D6D29"/>
    <w:rsid w:val="6F773C84"/>
    <w:rsid w:val="70963C18"/>
    <w:rsid w:val="718F669C"/>
    <w:rsid w:val="72AB25D5"/>
    <w:rsid w:val="761C1965"/>
    <w:rsid w:val="77BE394C"/>
    <w:rsid w:val="7CEF37AE"/>
    <w:rsid w:val="7DC31F33"/>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00" w:after="100" w:line="276" w:lineRule="auto"/>
    </w:pPr>
    <w:rPr>
      <w:rFonts w:ascii="宋体" w:hAnsi="宋体" w:eastAsia="宋体" w:cstheme="majorBidi"/>
      <w:sz w:val="24"/>
      <w:szCs w:val="22"/>
      <w:lang w:val="en-US" w:eastAsia="zh-CN" w:bidi="ar-SA"/>
    </w:rPr>
  </w:style>
  <w:style w:type="paragraph" w:styleId="3">
    <w:name w:val="heading 1"/>
    <w:basedOn w:val="1"/>
    <w:next w:val="1"/>
    <w:link w:val="37"/>
    <w:qFormat/>
    <w:uiPriority w:val="9"/>
    <w:pPr>
      <w:numPr>
        <w:ilvl w:val="0"/>
        <w:numId w:val="1"/>
      </w:numPr>
      <w:contextualSpacing/>
      <w:outlineLvl w:val="0"/>
    </w:pPr>
    <w:rPr>
      <w:rFonts w:asciiTheme="majorHAnsi" w:hAnsiTheme="majorHAnsi" w:eastAsiaTheme="majorEastAsia"/>
      <w:b/>
      <w:smallCaps/>
      <w:spacing w:val="5"/>
      <w:sz w:val="30"/>
      <w:szCs w:val="36"/>
    </w:rPr>
  </w:style>
  <w:style w:type="paragraph" w:styleId="4">
    <w:name w:val="heading 2"/>
    <w:basedOn w:val="1"/>
    <w:next w:val="1"/>
    <w:link w:val="38"/>
    <w:unhideWhenUsed/>
    <w:qFormat/>
    <w:uiPriority w:val="9"/>
    <w:pPr>
      <w:numPr>
        <w:ilvl w:val="1"/>
        <w:numId w:val="1"/>
      </w:numPr>
      <w:spacing w:line="271" w:lineRule="auto"/>
      <w:outlineLvl w:val="1"/>
    </w:pPr>
    <w:rPr>
      <w:rFonts w:asciiTheme="majorHAnsi" w:hAnsiTheme="majorHAnsi" w:eastAsiaTheme="majorEastAsia"/>
      <w:b/>
      <w:smallCaps/>
      <w:sz w:val="28"/>
      <w:szCs w:val="28"/>
    </w:rPr>
  </w:style>
  <w:style w:type="paragraph" w:styleId="5">
    <w:name w:val="heading 3"/>
    <w:basedOn w:val="1"/>
    <w:next w:val="1"/>
    <w:link w:val="39"/>
    <w:unhideWhenUsed/>
    <w:qFormat/>
    <w:uiPriority w:val="9"/>
    <w:pPr>
      <w:numPr>
        <w:ilvl w:val="2"/>
        <w:numId w:val="1"/>
      </w:numPr>
      <w:spacing w:line="271" w:lineRule="auto"/>
      <w:outlineLvl w:val="2"/>
    </w:pPr>
    <w:rPr>
      <w:rFonts w:asciiTheme="majorHAnsi" w:hAnsiTheme="majorHAnsi" w:eastAsiaTheme="majorEastAsia"/>
      <w:b/>
      <w:iCs/>
      <w:smallCaps/>
      <w:spacing w:val="5"/>
      <w:sz w:val="26"/>
      <w:szCs w:val="26"/>
    </w:rPr>
  </w:style>
  <w:style w:type="paragraph" w:styleId="6">
    <w:name w:val="heading 4"/>
    <w:basedOn w:val="1"/>
    <w:next w:val="1"/>
    <w:link w:val="40"/>
    <w:unhideWhenUsed/>
    <w:qFormat/>
    <w:uiPriority w:val="9"/>
    <w:pPr>
      <w:numPr>
        <w:ilvl w:val="3"/>
        <w:numId w:val="1"/>
      </w:numPr>
      <w:spacing w:after="0" w:line="271" w:lineRule="auto"/>
      <w:outlineLvl w:val="3"/>
    </w:pPr>
    <w:rPr>
      <w:rFonts w:asciiTheme="majorHAnsi" w:hAnsiTheme="majorHAnsi"/>
      <w:b/>
      <w:bCs/>
      <w:spacing w:val="5"/>
      <w:szCs w:val="24"/>
    </w:rPr>
  </w:style>
  <w:style w:type="paragraph" w:styleId="7">
    <w:name w:val="heading 5"/>
    <w:basedOn w:val="1"/>
    <w:next w:val="1"/>
    <w:link w:val="41"/>
    <w:semiHidden/>
    <w:unhideWhenUsed/>
    <w:qFormat/>
    <w:uiPriority w:val="9"/>
    <w:pPr>
      <w:numPr>
        <w:ilvl w:val="4"/>
        <w:numId w:val="1"/>
      </w:numPr>
      <w:spacing w:after="0" w:line="271" w:lineRule="auto"/>
      <w:outlineLvl w:val="4"/>
    </w:pPr>
    <w:rPr>
      <w:rFonts w:asciiTheme="majorHAnsi" w:hAnsiTheme="majorHAnsi"/>
      <w:b/>
      <w:iCs/>
      <w:szCs w:val="24"/>
    </w:rPr>
  </w:style>
  <w:style w:type="paragraph" w:styleId="8">
    <w:name w:val="heading 6"/>
    <w:basedOn w:val="1"/>
    <w:next w:val="1"/>
    <w:link w:val="42"/>
    <w:semiHidden/>
    <w:unhideWhenUsed/>
    <w:qFormat/>
    <w:uiPriority w:val="9"/>
    <w:pPr>
      <w:numPr>
        <w:ilvl w:val="5"/>
        <w:numId w:val="1"/>
      </w:numPr>
      <w:shd w:val="clear" w:color="auto" w:fill="FFFFFF"/>
      <w:spacing w:after="0" w:line="271" w:lineRule="auto"/>
      <w:outlineLvl w:val="5"/>
    </w:pPr>
    <w:rPr>
      <w:rFonts w:asciiTheme="majorHAnsi" w:hAnsiTheme="majorHAnsi" w:eastAsiaTheme="majorEastAsia"/>
      <w:b/>
      <w:bCs/>
      <w:color w:val="595959"/>
      <w:spacing w:val="5"/>
    </w:rPr>
  </w:style>
  <w:style w:type="paragraph" w:styleId="9">
    <w:name w:val="heading 7"/>
    <w:basedOn w:val="1"/>
    <w:next w:val="1"/>
    <w:link w:val="43"/>
    <w:semiHidden/>
    <w:unhideWhenUsed/>
    <w:qFormat/>
    <w:uiPriority w:val="9"/>
    <w:pPr>
      <w:numPr>
        <w:ilvl w:val="6"/>
        <w:numId w:val="1"/>
      </w:numPr>
      <w:spacing w:after="0"/>
      <w:outlineLvl w:val="6"/>
    </w:pPr>
    <w:rPr>
      <w:rFonts w:asciiTheme="majorHAnsi" w:hAnsiTheme="majorHAnsi" w:eastAsiaTheme="majorEastAsia"/>
      <w:b/>
      <w:bCs/>
      <w:i/>
      <w:iCs/>
      <w:color w:val="5A5A5A"/>
      <w:sz w:val="20"/>
      <w:szCs w:val="20"/>
    </w:rPr>
  </w:style>
  <w:style w:type="paragraph" w:styleId="10">
    <w:name w:val="heading 8"/>
    <w:basedOn w:val="1"/>
    <w:next w:val="1"/>
    <w:link w:val="44"/>
    <w:semiHidden/>
    <w:unhideWhenUsed/>
    <w:qFormat/>
    <w:uiPriority w:val="9"/>
    <w:pPr>
      <w:numPr>
        <w:ilvl w:val="7"/>
        <w:numId w:val="1"/>
      </w:numPr>
      <w:spacing w:after="0"/>
      <w:outlineLvl w:val="7"/>
    </w:pPr>
    <w:rPr>
      <w:rFonts w:asciiTheme="majorHAnsi" w:hAnsiTheme="majorHAnsi" w:eastAsiaTheme="majorEastAsia"/>
      <w:b/>
      <w:bCs/>
      <w:color w:val="7F7F7F"/>
      <w:sz w:val="20"/>
      <w:szCs w:val="20"/>
    </w:rPr>
  </w:style>
  <w:style w:type="paragraph" w:styleId="11">
    <w:name w:val="heading 9"/>
    <w:basedOn w:val="1"/>
    <w:next w:val="1"/>
    <w:link w:val="45"/>
    <w:semiHidden/>
    <w:unhideWhenUsed/>
    <w:qFormat/>
    <w:uiPriority w:val="9"/>
    <w:pPr>
      <w:numPr>
        <w:ilvl w:val="8"/>
        <w:numId w:val="2"/>
      </w:numPr>
      <w:spacing w:after="0" w:line="271" w:lineRule="auto"/>
      <w:outlineLvl w:val="8"/>
    </w:pPr>
    <w:rPr>
      <w:rFonts w:asciiTheme="majorHAnsi" w:hAnsiTheme="majorHAnsi" w:eastAsiaTheme="majorEastAsia"/>
      <w:b/>
      <w:bCs/>
      <w:i/>
      <w:iCs/>
      <w:color w:val="7F7F7F"/>
      <w:sz w:val="18"/>
      <w:szCs w:val="1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12">
    <w:name w:val="toc 7"/>
    <w:basedOn w:val="1"/>
    <w:next w:val="1"/>
    <w:unhideWhenUsed/>
    <w:qFormat/>
    <w:uiPriority w:val="39"/>
    <w:pPr>
      <w:widowControl w:val="0"/>
      <w:spacing w:before="0" w:after="0" w:line="240" w:lineRule="auto"/>
      <w:ind w:left="2520" w:leftChars="1200"/>
      <w:jc w:val="both"/>
    </w:pPr>
    <w:rPr>
      <w:rFonts w:asciiTheme="minorHAnsi" w:hAnsiTheme="minorHAnsi" w:eastAsiaTheme="minorEastAsia" w:cstheme="minorBidi"/>
      <w:kern w:val="2"/>
      <w:sz w:val="21"/>
    </w:rPr>
  </w:style>
  <w:style w:type="paragraph" w:styleId="13">
    <w:name w:val="caption"/>
    <w:basedOn w:val="1"/>
    <w:next w:val="1"/>
    <w:semiHidden/>
    <w:unhideWhenUsed/>
    <w:qFormat/>
    <w:uiPriority w:val="35"/>
    <w:rPr>
      <w:rFonts w:eastAsia="黑体"/>
      <w:sz w:val="20"/>
      <w:szCs w:val="20"/>
    </w:rPr>
  </w:style>
  <w:style w:type="paragraph" w:styleId="14">
    <w:name w:val="Document Map"/>
    <w:basedOn w:val="1"/>
    <w:link w:val="74"/>
    <w:semiHidden/>
    <w:unhideWhenUsed/>
    <w:qFormat/>
    <w:uiPriority w:val="99"/>
    <w:rPr>
      <w:sz w:val="18"/>
      <w:szCs w:val="18"/>
    </w:rPr>
  </w:style>
  <w:style w:type="paragraph" w:styleId="15">
    <w:name w:val="annotation text"/>
    <w:basedOn w:val="1"/>
    <w:link w:val="73"/>
    <w:semiHidden/>
    <w:qFormat/>
    <w:uiPriority w:val="0"/>
    <w:pPr>
      <w:spacing w:before="0" w:after="0" w:line="240" w:lineRule="auto"/>
    </w:pPr>
    <w:rPr>
      <w:rFonts w:ascii="Calibri" w:hAnsi="Calibri" w:cs="Times New Roman"/>
      <w:szCs w:val="24"/>
    </w:rPr>
  </w:style>
  <w:style w:type="paragraph" w:styleId="16">
    <w:name w:val="toc 5"/>
    <w:basedOn w:val="1"/>
    <w:next w:val="1"/>
    <w:unhideWhenUsed/>
    <w:qFormat/>
    <w:uiPriority w:val="39"/>
    <w:pPr>
      <w:widowControl w:val="0"/>
      <w:spacing w:before="0" w:after="0" w:line="240" w:lineRule="auto"/>
      <w:ind w:left="1680" w:leftChars="800"/>
      <w:jc w:val="both"/>
    </w:pPr>
    <w:rPr>
      <w:rFonts w:asciiTheme="minorHAnsi" w:hAnsiTheme="minorHAnsi" w:eastAsiaTheme="minorEastAsia" w:cstheme="minorBidi"/>
      <w:kern w:val="2"/>
      <w:sz w:val="21"/>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widowControl w:val="0"/>
      <w:spacing w:before="0" w:after="0" w:line="240" w:lineRule="auto"/>
      <w:ind w:left="2940" w:leftChars="1400"/>
      <w:jc w:val="both"/>
    </w:pPr>
    <w:rPr>
      <w:rFonts w:asciiTheme="minorHAnsi" w:hAnsiTheme="minorHAnsi" w:eastAsiaTheme="minorEastAsia" w:cstheme="minorBidi"/>
      <w:kern w:val="2"/>
      <w:sz w:val="21"/>
    </w:rPr>
  </w:style>
  <w:style w:type="paragraph" w:styleId="19">
    <w:name w:val="Balloon Text"/>
    <w:basedOn w:val="1"/>
    <w:link w:val="61"/>
    <w:semiHidden/>
    <w:unhideWhenUsed/>
    <w:qFormat/>
    <w:uiPriority w:val="99"/>
    <w:pPr>
      <w:spacing w:before="0" w:after="0" w:line="240" w:lineRule="auto"/>
    </w:pPr>
    <w:rPr>
      <w:sz w:val="18"/>
      <w:szCs w:val="18"/>
    </w:rPr>
  </w:style>
  <w:style w:type="paragraph" w:styleId="20">
    <w:name w:val="footer"/>
    <w:basedOn w:val="1"/>
    <w:link w:val="63"/>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6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widowControl w:val="0"/>
      <w:spacing w:before="0" w:after="0" w:line="240" w:lineRule="auto"/>
      <w:ind w:left="1260" w:leftChars="600"/>
      <w:jc w:val="both"/>
    </w:pPr>
    <w:rPr>
      <w:rFonts w:asciiTheme="minorHAnsi" w:hAnsiTheme="minorHAnsi" w:eastAsiaTheme="minorEastAsia" w:cstheme="minorBidi"/>
      <w:kern w:val="2"/>
      <w:sz w:val="21"/>
    </w:rPr>
  </w:style>
  <w:style w:type="paragraph" w:styleId="24">
    <w:name w:val="Subtitle"/>
    <w:basedOn w:val="1"/>
    <w:next w:val="1"/>
    <w:link w:val="47"/>
    <w:qFormat/>
    <w:uiPriority w:val="11"/>
    <w:pPr>
      <w:jc w:val="center"/>
    </w:pPr>
    <w:rPr>
      <w:rFonts w:asciiTheme="majorHAnsi" w:hAnsiTheme="majorHAnsi" w:eastAsiaTheme="majorEastAsia"/>
      <w:iCs/>
      <w:smallCaps/>
      <w:spacing w:val="10"/>
      <w:sz w:val="28"/>
      <w:szCs w:val="28"/>
    </w:rPr>
  </w:style>
  <w:style w:type="paragraph" w:styleId="25">
    <w:name w:val="toc 6"/>
    <w:basedOn w:val="1"/>
    <w:next w:val="1"/>
    <w:unhideWhenUsed/>
    <w:qFormat/>
    <w:uiPriority w:val="39"/>
    <w:pPr>
      <w:widowControl w:val="0"/>
      <w:spacing w:before="0" w:after="0" w:line="240" w:lineRule="auto"/>
      <w:ind w:left="2100" w:leftChars="1000"/>
      <w:jc w:val="both"/>
    </w:pPr>
    <w:rPr>
      <w:rFonts w:asciiTheme="minorHAnsi" w:hAnsiTheme="minorHAnsi" w:eastAsiaTheme="minorEastAsia" w:cstheme="minorBidi"/>
      <w:kern w:val="2"/>
      <w:sz w:val="21"/>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widowControl w:val="0"/>
      <w:spacing w:before="0" w:after="0" w:line="240" w:lineRule="auto"/>
      <w:ind w:left="3360" w:leftChars="1600"/>
      <w:jc w:val="both"/>
    </w:pPr>
    <w:rPr>
      <w:rFonts w:asciiTheme="minorHAnsi" w:hAnsiTheme="minorHAnsi" w:eastAsiaTheme="minorEastAsia" w:cstheme="minorBidi"/>
      <w:kern w:val="2"/>
      <w:sz w:val="21"/>
    </w:rPr>
  </w:style>
  <w:style w:type="paragraph" w:styleId="28">
    <w:name w:val="Title"/>
    <w:basedOn w:val="1"/>
    <w:next w:val="1"/>
    <w:link w:val="46"/>
    <w:qFormat/>
    <w:uiPriority w:val="10"/>
    <w:pPr>
      <w:spacing w:before="160" w:after="360" w:line="240" w:lineRule="auto"/>
      <w:contextualSpacing/>
      <w:jc w:val="center"/>
    </w:pPr>
    <w:rPr>
      <w:rFonts w:asciiTheme="majorHAnsi" w:hAnsiTheme="majorHAnsi" w:eastAsiaTheme="majorEastAsia"/>
      <w:b/>
      <w:smallCaps/>
      <w:sz w:val="36"/>
      <w:szCs w:val="52"/>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qFormat/>
    <w:uiPriority w:val="22"/>
    <w:rPr>
      <w:b/>
      <w:bCs/>
    </w:rPr>
  </w:style>
  <w:style w:type="character" w:styleId="33">
    <w:name w:val="page number"/>
    <w:basedOn w:val="31"/>
    <w:qFormat/>
    <w:uiPriority w:val="0"/>
  </w:style>
  <w:style w:type="character" w:styleId="34">
    <w:name w:val="Emphasis"/>
    <w:qFormat/>
    <w:uiPriority w:val="20"/>
    <w:rPr>
      <w:b/>
      <w:bCs/>
      <w:i/>
      <w:iCs/>
      <w:spacing w:val="10"/>
    </w:rPr>
  </w:style>
  <w:style w:type="character" w:styleId="35">
    <w:name w:val="Hyperlink"/>
    <w:basedOn w:val="31"/>
    <w:unhideWhenUsed/>
    <w:qFormat/>
    <w:uiPriority w:val="99"/>
    <w:rPr>
      <w:color w:val="0000FF" w:themeColor="hyperlink"/>
      <w:u w:val="single"/>
      <w14:textFill>
        <w14:solidFill>
          <w14:schemeClr w14:val="hlink"/>
        </w14:solidFill>
      </w14:textFill>
    </w:rPr>
  </w:style>
  <w:style w:type="character" w:styleId="36">
    <w:name w:val="annotation reference"/>
    <w:semiHidden/>
    <w:qFormat/>
    <w:uiPriority w:val="0"/>
    <w:rPr>
      <w:sz w:val="21"/>
      <w:szCs w:val="21"/>
    </w:rPr>
  </w:style>
  <w:style w:type="character" w:customStyle="1" w:styleId="37">
    <w:name w:val="标题 1 字符"/>
    <w:link w:val="3"/>
    <w:qFormat/>
    <w:uiPriority w:val="9"/>
    <w:rPr>
      <w:b/>
      <w:smallCaps/>
      <w:spacing w:val="5"/>
      <w:sz w:val="30"/>
      <w:szCs w:val="36"/>
    </w:rPr>
  </w:style>
  <w:style w:type="character" w:customStyle="1" w:styleId="38">
    <w:name w:val="标题 2 字符"/>
    <w:link w:val="4"/>
    <w:qFormat/>
    <w:uiPriority w:val="9"/>
    <w:rPr>
      <w:b/>
      <w:smallCaps/>
      <w:sz w:val="28"/>
      <w:szCs w:val="28"/>
    </w:rPr>
  </w:style>
  <w:style w:type="character" w:customStyle="1" w:styleId="39">
    <w:name w:val="标题 3 字符"/>
    <w:link w:val="5"/>
    <w:qFormat/>
    <w:uiPriority w:val="9"/>
    <w:rPr>
      <w:b/>
      <w:iCs/>
      <w:smallCaps/>
      <w:spacing w:val="5"/>
      <w:sz w:val="26"/>
      <w:szCs w:val="26"/>
    </w:rPr>
  </w:style>
  <w:style w:type="character" w:customStyle="1" w:styleId="40">
    <w:name w:val="标题 4 字符"/>
    <w:link w:val="6"/>
    <w:qFormat/>
    <w:uiPriority w:val="9"/>
    <w:rPr>
      <w:rFonts w:eastAsia="宋体"/>
      <w:b/>
      <w:bCs/>
      <w:spacing w:val="5"/>
      <w:sz w:val="24"/>
      <w:szCs w:val="24"/>
    </w:rPr>
  </w:style>
  <w:style w:type="character" w:customStyle="1" w:styleId="41">
    <w:name w:val="标题 5 字符"/>
    <w:link w:val="7"/>
    <w:semiHidden/>
    <w:qFormat/>
    <w:uiPriority w:val="9"/>
    <w:rPr>
      <w:rFonts w:eastAsia="宋体"/>
      <w:b/>
      <w:iCs/>
      <w:sz w:val="24"/>
      <w:szCs w:val="24"/>
    </w:rPr>
  </w:style>
  <w:style w:type="character" w:customStyle="1" w:styleId="42">
    <w:name w:val="标题 6 字符"/>
    <w:link w:val="8"/>
    <w:semiHidden/>
    <w:qFormat/>
    <w:uiPriority w:val="9"/>
    <w:rPr>
      <w:b/>
      <w:bCs/>
      <w:color w:val="595959"/>
      <w:spacing w:val="5"/>
      <w:shd w:val="clear" w:color="auto" w:fill="FFFFFF"/>
    </w:rPr>
  </w:style>
  <w:style w:type="character" w:customStyle="1" w:styleId="43">
    <w:name w:val="标题 7 字符"/>
    <w:link w:val="9"/>
    <w:semiHidden/>
    <w:qFormat/>
    <w:uiPriority w:val="9"/>
    <w:rPr>
      <w:b/>
      <w:bCs/>
      <w:i/>
      <w:iCs/>
      <w:color w:val="5A5A5A"/>
      <w:sz w:val="20"/>
      <w:szCs w:val="20"/>
    </w:rPr>
  </w:style>
  <w:style w:type="character" w:customStyle="1" w:styleId="44">
    <w:name w:val="标题 8 字符"/>
    <w:link w:val="10"/>
    <w:semiHidden/>
    <w:qFormat/>
    <w:uiPriority w:val="9"/>
    <w:rPr>
      <w:b/>
      <w:bCs/>
      <w:color w:val="7F7F7F"/>
      <w:sz w:val="20"/>
      <w:szCs w:val="20"/>
    </w:rPr>
  </w:style>
  <w:style w:type="character" w:customStyle="1" w:styleId="45">
    <w:name w:val="标题 9 字符"/>
    <w:link w:val="11"/>
    <w:semiHidden/>
    <w:qFormat/>
    <w:uiPriority w:val="9"/>
    <w:rPr>
      <w:b/>
      <w:bCs/>
      <w:i/>
      <w:iCs/>
      <w:color w:val="7F7F7F"/>
      <w:sz w:val="18"/>
      <w:szCs w:val="18"/>
    </w:rPr>
  </w:style>
  <w:style w:type="character" w:customStyle="1" w:styleId="46">
    <w:name w:val="标题 字符"/>
    <w:link w:val="28"/>
    <w:qFormat/>
    <w:uiPriority w:val="10"/>
    <w:rPr>
      <w:b/>
      <w:smallCaps/>
      <w:sz w:val="36"/>
      <w:szCs w:val="52"/>
    </w:rPr>
  </w:style>
  <w:style w:type="character" w:customStyle="1" w:styleId="47">
    <w:name w:val="副标题 字符"/>
    <w:link w:val="24"/>
    <w:qFormat/>
    <w:uiPriority w:val="11"/>
    <w:rPr>
      <w:iCs/>
      <w:smallCaps/>
      <w:spacing w:val="10"/>
      <w:sz w:val="28"/>
      <w:szCs w:val="28"/>
    </w:rPr>
  </w:style>
  <w:style w:type="paragraph" w:styleId="48">
    <w:name w:val="No Spacing"/>
    <w:basedOn w:val="1"/>
    <w:link w:val="60"/>
    <w:qFormat/>
    <w:uiPriority w:val="1"/>
    <w:pPr>
      <w:spacing w:after="0" w:line="240" w:lineRule="auto"/>
    </w:pPr>
    <w:rPr>
      <w:rFonts w:asciiTheme="majorHAnsi" w:hAnsiTheme="majorHAnsi" w:eastAsiaTheme="majorEastAsia"/>
    </w:rPr>
  </w:style>
  <w:style w:type="paragraph" w:styleId="49">
    <w:name w:val="List Paragraph"/>
    <w:basedOn w:val="1"/>
    <w:link w:val="68"/>
    <w:qFormat/>
    <w:uiPriority w:val="34"/>
    <w:pPr>
      <w:ind w:left="720"/>
      <w:contextualSpacing/>
    </w:pPr>
    <w:rPr>
      <w:rFonts w:ascii="Calibri" w:hAnsi="Calibri"/>
    </w:rPr>
  </w:style>
  <w:style w:type="paragraph" w:styleId="50">
    <w:name w:val="Quote"/>
    <w:basedOn w:val="1"/>
    <w:next w:val="1"/>
    <w:link w:val="51"/>
    <w:qFormat/>
    <w:uiPriority w:val="29"/>
    <w:rPr>
      <w:rFonts w:asciiTheme="majorHAnsi" w:hAnsiTheme="majorHAnsi" w:eastAsiaTheme="majorEastAsia"/>
      <w:i/>
      <w:iCs/>
    </w:rPr>
  </w:style>
  <w:style w:type="character" w:customStyle="1" w:styleId="51">
    <w:name w:val="引用 字符"/>
    <w:link w:val="50"/>
    <w:qFormat/>
    <w:uiPriority w:val="29"/>
    <w:rPr>
      <w:i/>
      <w:iCs/>
    </w:rPr>
  </w:style>
  <w:style w:type="paragraph" w:styleId="52">
    <w:name w:val="Intense Quote"/>
    <w:basedOn w:val="1"/>
    <w:next w:val="1"/>
    <w:link w:val="53"/>
    <w:qFormat/>
    <w:uiPriority w:val="30"/>
    <w:pPr>
      <w:pBdr>
        <w:top w:val="single" w:color="auto" w:sz="4" w:space="10"/>
        <w:bottom w:val="single" w:color="auto" w:sz="4" w:space="10"/>
      </w:pBdr>
      <w:spacing w:before="240" w:after="240" w:line="300" w:lineRule="auto"/>
      <w:ind w:left="1152" w:right="1152"/>
      <w:jc w:val="both"/>
    </w:pPr>
    <w:rPr>
      <w:rFonts w:asciiTheme="majorHAnsi" w:hAnsiTheme="majorHAnsi" w:eastAsiaTheme="majorEastAsia"/>
      <w:i/>
      <w:iCs/>
    </w:rPr>
  </w:style>
  <w:style w:type="character" w:customStyle="1" w:styleId="53">
    <w:name w:val="明显引用 字符"/>
    <w:link w:val="52"/>
    <w:qFormat/>
    <w:uiPriority w:val="30"/>
    <w:rPr>
      <w:i/>
      <w:iCs/>
    </w:rPr>
  </w:style>
  <w:style w:type="character" w:customStyle="1" w:styleId="54">
    <w:name w:val="不明显强调1"/>
    <w:qFormat/>
    <w:uiPriority w:val="19"/>
    <w:rPr>
      <w:i/>
      <w:iCs/>
    </w:rPr>
  </w:style>
  <w:style w:type="character" w:customStyle="1" w:styleId="55">
    <w:name w:val="明显强调1"/>
    <w:qFormat/>
    <w:uiPriority w:val="21"/>
    <w:rPr>
      <w:b/>
      <w:bCs/>
      <w:i/>
      <w:iCs/>
    </w:rPr>
  </w:style>
  <w:style w:type="character" w:customStyle="1" w:styleId="56">
    <w:name w:val="不明显参考1"/>
    <w:qFormat/>
    <w:uiPriority w:val="31"/>
    <w:rPr>
      <w:smallCaps/>
    </w:rPr>
  </w:style>
  <w:style w:type="character" w:customStyle="1" w:styleId="57">
    <w:name w:val="明显参考1"/>
    <w:qFormat/>
    <w:uiPriority w:val="32"/>
    <w:rPr>
      <w:b/>
      <w:bCs/>
      <w:smallCaps/>
    </w:rPr>
  </w:style>
  <w:style w:type="character" w:customStyle="1" w:styleId="58">
    <w:name w:val="书籍标题1"/>
    <w:qFormat/>
    <w:uiPriority w:val="33"/>
    <w:rPr>
      <w:i/>
      <w:iCs/>
      <w:smallCaps/>
      <w:spacing w:val="5"/>
    </w:rPr>
  </w:style>
  <w:style w:type="paragraph" w:customStyle="1" w:styleId="59">
    <w:name w:val="TOC 标题1"/>
    <w:basedOn w:val="3"/>
    <w:next w:val="1"/>
    <w:semiHidden/>
    <w:unhideWhenUsed/>
    <w:qFormat/>
    <w:uiPriority w:val="39"/>
    <w:pPr>
      <w:numPr>
        <w:numId w:val="0"/>
      </w:numPr>
      <w:outlineLvl w:val="9"/>
    </w:pPr>
    <w:rPr>
      <w:rFonts w:ascii="Calibri" w:hAnsi="Calibri" w:eastAsia="宋体"/>
      <w:lang w:bidi="en-US"/>
    </w:rPr>
  </w:style>
  <w:style w:type="character" w:customStyle="1" w:styleId="60">
    <w:name w:val="无间隔 字符"/>
    <w:link w:val="48"/>
    <w:qFormat/>
    <w:uiPriority w:val="1"/>
  </w:style>
  <w:style w:type="character" w:customStyle="1" w:styleId="61">
    <w:name w:val="批注框文本 字符"/>
    <w:basedOn w:val="31"/>
    <w:link w:val="19"/>
    <w:semiHidden/>
    <w:qFormat/>
    <w:uiPriority w:val="99"/>
    <w:rPr>
      <w:rFonts w:cstheme="majorBidi"/>
      <w:sz w:val="18"/>
      <w:szCs w:val="18"/>
    </w:rPr>
  </w:style>
  <w:style w:type="character" w:customStyle="1" w:styleId="62">
    <w:name w:val="页眉 字符"/>
    <w:basedOn w:val="31"/>
    <w:link w:val="21"/>
    <w:qFormat/>
    <w:uiPriority w:val="99"/>
    <w:rPr>
      <w:rFonts w:cstheme="majorBidi"/>
      <w:sz w:val="18"/>
      <w:szCs w:val="18"/>
    </w:rPr>
  </w:style>
  <w:style w:type="character" w:customStyle="1" w:styleId="63">
    <w:name w:val="页脚 字符"/>
    <w:basedOn w:val="31"/>
    <w:link w:val="20"/>
    <w:qFormat/>
    <w:uiPriority w:val="99"/>
    <w:rPr>
      <w:rFonts w:cstheme="majorBidi"/>
      <w:sz w:val="18"/>
      <w:szCs w:val="18"/>
    </w:rPr>
  </w:style>
  <w:style w:type="paragraph" w:customStyle="1" w:styleId="64">
    <w:name w:val="题注1"/>
    <w:basedOn w:val="13"/>
    <w:link w:val="65"/>
    <w:qFormat/>
    <w:uiPriority w:val="0"/>
    <w:rPr>
      <w:rFonts w:asciiTheme="majorHAnsi" w:hAnsiTheme="majorHAnsi"/>
    </w:rPr>
  </w:style>
  <w:style w:type="character" w:customStyle="1" w:styleId="65">
    <w:name w:val="题注1 Char"/>
    <w:link w:val="64"/>
    <w:qFormat/>
    <w:uiPriority w:val="0"/>
    <w:rPr>
      <w:rFonts w:eastAsia="黑体"/>
      <w:sz w:val="20"/>
      <w:szCs w:val="20"/>
    </w:rPr>
  </w:style>
  <w:style w:type="paragraph" w:customStyle="1" w:styleId="66">
    <w:name w:val="要点1"/>
    <w:basedOn w:val="49"/>
    <w:link w:val="67"/>
    <w:qFormat/>
    <w:uiPriority w:val="0"/>
    <w:pPr>
      <w:tabs>
        <w:tab w:val="left" w:pos="720"/>
      </w:tabs>
      <w:ind w:left="420" w:hanging="420"/>
    </w:pPr>
  </w:style>
  <w:style w:type="character" w:customStyle="1" w:styleId="67">
    <w:name w:val="要点1 Char"/>
    <w:link w:val="66"/>
    <w:qFormat/>
    <w:uiPriority w:val="0"/>
    <w:rPr>
      <w:rFonts w:ascii="Calibri" w:hAnsi="Calibri" w:eastAsia="宋体"/>
    </w:rPr>
  </w:style>
  <w:style w:type="character" w:customStyle="1" w:styleId="68">
    <w:name w:val="列表段落 字符"/>
    <w:link w:val="49"/>
    <w:qFormat/>
    <w:uiPriority w:val="34"/>
    <w:rPr>
      <w:rFonts w:ascii="Calibri" w:hAnsi="Calibri" w:eastAsia="宋体"/>
    </w:rPr>
  </w:style>
  <w:style w:type="paragraph" w:customStyle="1" w:styleId="69">
    <w:name w:val="Cover 3"/>
    <w:qFormat/>
    <w:uiPriority w:val="0"/>
    <w:pPr>
      <w:widowControl w:val="0"/>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70">
    <w:name w:val="Remark Table Text"/>
    <w:qFormat/>
    <w:uiPriority w:val="0"/>
    <w:pPr>
      <w:widowControl w:val="0"/>
      <w:autoSpaceDE w:val="0"/>
      <w:autoSpaceDN w:val="0"/>
      <w:adjustRightInd w:val="0"/>
      <w:snapToGrid w:val="0"/>
      <w:spacing w:before="80" w:after="80" w:line="276" w:lineRule="auto"/>
    </w:pPr>
    <w:rPr>
      <w:rFonts w:ascii="Arial" w:hAnsi="Arial" w:eastAsia="宋体" w:cs="Arial"/>
      <w:lang w:val="en-US" w:eastAsia="zh-CN" w:bidi="ar-SA"/>
    </w:rPr>
  </w:style>
  <w:style w:type="paragraph" w:customStyle="1" w:styleId="71">
    <w:name w:val="Cover 4"/>
    <w:qFormat/>
    <w:uiPriority w:val="0"/>
    <w:pPr>
      <w:spacing w:before="80" w:after="80" w:line="240" w:lineRule="atLeast"/>
    </w:pPr>
    <w:rPr>
      <w:rFonts w:ascii="黑体" w:hAnsi="宋体" w:eastAsia="黑体" w:cs="Arial"/>
      <w:b/>
      <w:sz w:val="22"/>
      <w:szCs w:val="44"/>
      <w:lang w:val="en-US" w:eastAsia="zh-CN" w:bidi="ar-SA"/>
    </w:rPr>
  </w:style>
  <w:style w:type="paragraph" w:customStyle="1" w:styleId="72">
    <w:name w:val="Char1 Char"/>
    <w:basedOn w:val="1"/>
    <w:qFormat/>
    <w:uiPriority w:val="0"/>
    <w:pPr>
      <w:tabs>
        <w:tab w:val="left" w:pos="630"/>
      </w:tabs>
      <w:spacing w:before="0" w:after="0" w:line="240" w:lineRule="auto"/>
      <w:ind w:left="630" w:hanging="630"/>
    </w:pPr>
    <w:rPr>
      <w:rFonts w:cs="Times New Roman"/>
      <w:szCs w:val="24"/>
    </w:rPr>
  </w:style>
  <w:style w:type="character" w:customStyle="1" w:styleId="73">
    <w:name w:val="批注文字 字符"/>
    <w:basedOn w:val="31"/>
    <w:link w:val="15"/>
    <w:semiHidden/>
    <w:qFormat/>
    <w:uiPriority w:val="0"/>
    <w:rPr>
      <w:rFonts w:ascii="Calibri" w:hAnsi="Calibri" w:eastAsia="宋体" w:cs="Times New Roman"/>
      <w:sz w:val="24"/>
      <w:szCs w:val="24"/>
    </w:rPr>
  </w:style>
  <w:style w:type="character" w:customStyle="1" w:styleId="74">
    <w:name w:val="文档结构图 字符"/>
    <w:basedOn w:val="31"/>
    <w:link w:val="14"/>
    <w:semiHidden/>
    <w:qFormat/>
    <w:uiPriority w:val="99"/>
    <w:rPr>
      <w:rFonts w:ascii="宋体" w:hAnsi="宋体" w:eastAsia="宋体"/>
      <w:sz w:val="18"/>
      <w:szCs w:val="18"/>
    </w:rPr>
  </w:style>
  <w:style w:type="paragraph" w:customStyle="1" w:styleId="75">
    <w:name w:val="列表段落1"/>
    <w:basedOn w:val="1"/>
    <w:qFormat/>
    <w:uiPriority w:val="0"/>
    <w:pPr>
      <w:spacing w:before="0" w:after="0" w:line="400" w:lineRule="exact"/>
      <w:ind w:firstLine="420" w:firstLineChars="200"/>
    </w:pPr>
    <w:rPr>
      <w:rFonts w:cs="Times New Roman"/>
      <w:kern w:val="2"/>
      <w:sz w:val="22"/>
    </w:rPr>
  </w:style>
  <w:style w:type="paragraph" w:customStyle="1" w:styleId="76">
    <w:name w:val="列出段落1"/>
    <w:basedOn w:val="1"/>
    <w:qFormat/>
    <w:uiPriority w:val="0"/>
    <w:pPr>
      <w:widowControl w:val="0"/>
      <w:spacing w:before="0" w:after="0" w:line="240" w:lineRule="auto"/>
      <w:ind w:firstLine="420" w:firstLineChars="200"/>
      <w:jc w:val="both"/>
    </w:pPr>
    <w:rPr>
      <w:rFonts w:ascii="Times New Roman" w:hAnsi="Times New Roman" w:cs="Times New Roman"/>
      <w:kern w:val="2"/>
      <w:sz w:val="21"/>
      <w:szCs w:val="21"/>
    </w:rPr>
  </w:style>
  <w:style w:type="paragraph" w:customStyle="1" w:styleId="77">
    <w:name w:val="List Paragraph1"/>
    <w:basedOn w:val="1"/>
    <w:qFormat/>
    <w:uiPriority w:val="0"/>
    <w:pPr>
      <w:spacing w:before="0" w:after="0" w:line="400" w:lineRule="exact"/>
      <w:ind w:firstLine="420" w:firstLineChars="200"/>
    </w:pPr>
    <w:rPr>
      <w:rFonts w:cs="Times New Roman"/>
      <w:kern w:val="2"/>
      <w:sz w:val="22"/>
    </w:rPr>
  </w:style>
  <w:style w:type="paragraph" w:customStyle="1" w:styleId="78">
    <w:name w:val="列表段落2"/>
    <w:basedOn w:val="1"/>
    <w:qFormat/>
    <w:uiPriority w:val="0"/>
    <w:pPr>
      <w:widowControl w:val="0"/>
      <w:spacing w:before="0" w:after="0" w:line="240" w:lineRule="auto"/>
      <w:ind w:firstLine="420" w:firstLineChars="200"/>
      <w:jc w:val="both"/>
    </w:pPr>
    <w:rPr>
      <w:rFonts w:ascii="Times New Roman" w:hAnsi="Times New Roman" w:cs="Times New Roman"/>
      <w:kern w:val="2"/>
      <w:sz w:val="21"/>
      <w:szCs w:val="21"/>
    </w:rPr>
  </w:style>
  <w:style w:type="paragraph" w:customStyle="1" w:styleId="79">
    <w:name w:val="Revision"/>
    <w:hidden/>
    <w:unhideWhenUsed/>
    <w:qFormat/>
    <w:uiPriority w:val="99"/>
    <w:rPr>
      <w:rFonts w:ascii="宋体" w:hAnsi="宋体" w:eastAsia="宋体" w:cstheme="majorBidi"/>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24037;&#20316;\01_&#24037;&#20316;&#36719;&#20214;\&#40644;&#20426;&#243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2013-02-20T00:00:00</PublishDate>
  <Abstract>本文主要介绍金蝶医疗电子病历系统的常见问题及解决方法。</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E1CA7BB6-3AE4-4187-929A-9C055F571AB1}">
  <ds:schemaRefs/>
</ds:datastoreItem>
</file>

<file path=docProps/app.xml><?xml version="1.0" encoding="utf-8"?>
<Properties xmlns="http://schemas.openxmlformats.org/officeDocument/2006/extended-properties" xmlns:vt="http://schemas.openxmlformats.org/officeDocument/2006/docPropsVTypes">
  <Template>黄俊强</Template>
  <Company>金蝶医疗软件科技有限公司</Company>
  <Pages>11</Pages>
  <Words>3130</Words>
  <Characters>3323</Characters>
  <Lines>55</Lines>
  <Paragraphs>86</Paragraphs>
  <TotalTime>2</TotalTime>
  <ScaleCrop>false</ScaleCrop>
  <LinksUpToDate>false</LinksUpToDate>
  <CharactersWithSpaces>3341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2024-04-11T02:42:00Z</dcterms:created>
  <dc:creator>Administrator</dc:creator>
  <cp:lastModifiedBy>ZZC</cp:lastModifiedBy>
  <cp:lastPrinted>2019-07-29T02:34:00Z</cp:lastPrinted>
  <dcterms:modified xsi:type="dcterms:W3CDTF">2026-02-03T00:31:11Z</dcterms:modified>
  <dc:subject>常见问题集锦</dc:subject>
  <dc:title>EMR&amp;CP产品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E68DB2DB0E4647E2B2DDEF8F283807B7</vt:lpwstr>
  </property>
  <property fmtid="{D5CDD505-2E9C-101B-9397-08002B2CF9AE}" pid="4" name="KSOTemplateDocerSaveRecord">
    <vt:lpwstr>eyJoZGlkIjoiNDdmZGI4ZjhhMTMxZTVhMDZmZWE2MzQzYTJkNWZmOTMiLCJ1c2VySWQiOiIxMzE4OTc4MTEyIn0=</vt:lpwstr>
  </property>
</Properties>
</file>