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44"/>
          <w:szCs w:val="44"/>
          <w:shd w:val="clear" w:color="auto" w:fill="FFFFFF"/>
        </w:rPr>
      </w:pPr>
      <w:bookmarkStart w:id="0" w:name="_Toc77990991"/>
      <w:bookmarkStart w:id="1" w:name="_Toc140291626"/>
      <w:bookmarkStart w:id="2" w:name="_Toc77993109"/>
      <w:bookmarkStart w:id="3" w:name="_Toc3306007"/>
      <w:bookmarkStart w:id="4" w:name="_Toc14887557"/>
      <w:bookmarkStart w:id="5" w:name="_Toc14948875"/>
      <w:bookmarkStart w:id="6" w:name="_Toc81275638"/>
      <w:bookmarkStart w:id="7" w:name="_Toc61428966"/>
      <w:bookmarkStart w:id="8" w:name="_Toc14948621"/>
      <w:bookmarkStart w:id="9" w:name="_Toc78097180"/>
      <w:bookmarkStart w:id="10" w:name="_Toc37670349"/>
      <w:r>
        <w:rPr>
          <w:rFonts w:hint="eastAsia" w:ascii="黑体" w:hAnsi="黑体" w:eastAsia="黑体"/>
          <w:b/>
          <w:sz w:val="44"/>
          <w:szCs w:val="44"/>
          <w:shd w:val="clear" w:color="auto" w:fill="FFFFFF"/>
        </w:rPr>
        <w:t>一院两区自助设备租金价值</w:t>
      </w:r>
    </w:p>
    <w:p>
      <w:pPr>
        <w:spacing w:line="360" w:lineRule="auto"/>
        <w:jc w:val="center"/>
        <w:rPr>
          <w:rFonts w:hint="eastAsia" w:ascii="黑体" w:hAnsi="黑体" w:eastAsia="黑体"/>
          <w:b/>
          <w:sz w:val="44"/>
          <w:szCs w:val="44"/>
          <w:shd w:val="clear" w:color="auto" w:fill="FFFFFF"/>
        </w:rPr>
      </w:pPr>
      <w:r>
        <w:rPr>
          <w:rFonts w:hint="eastAsia" w:ascii="黑体" w:hAnsi="黑体" w:eastAsia="黑体"/>
          <w:b/>
          <w:sz w:val="44"/>
          <w:szCs w:val="44"/>
          <w:shd w:val="clear" w:color="auto" w:fill="FFFFFF"/>
        </w:rPr>
        <w:t>评估服务项目需求书</w:t>
      </w:r>
    </w:p>
    <w:p>
      <w:pPr>
        <w:spacing w:line="360" w:lineRule="auto"/>
        <w:jc w:val="center"/>
        <w:rPr>
          <w:rFonts w:hint="eastAsia" w:ascii="黑体" w:hAnsi="黑体" w:eastAsia="黑体"/>
          <w:b/>
          <w:sz w:val="44"/>
          <w:szCs w:val="44"/>
          <w:shd w:val="clear" w:color="auto" w:fill="FFFFFF"/>
        </w:rPr>
      </w:pPr>
    </w:p>
    <w:bookmarkEnd w:id="0"/>
    <w:bookmarkEnd w:id="1"/>
    <w:bookmarkEnd w:id="2"/>
    <w:bookmarkEnd w:id="3"/>
    <w:bookmarkEnd w:id="4"/>
    <w:bookmarkEnd w:id="5"/>
    <w:bookmarkEnd w:id="6"/>
    <w:bookmarkEnd w:id="7"/>
    <w:bookmarkEnd w:id="8"/>
    <w:bookmarkEnd w:id="9"/>
    <w:bookmarkEnd w:id="10"/>
    <w:p>
      <w:pPr>
        <w:numPr>
          <w:ilvl w:val="0"/>
          <w:numId w:val="1"/>
        </w:numPr>
        <w:spacing w:after="312" w:afterLines="100" w:line="360" w:lineRule="auto"/>
        <w:jc w:val="center"/>
        <w:outlineLvl w:val="1"/>
        <w:rPr>
          <w:rFonts w:hint="eastAsia" w:ascii="仿宋" w:hAnsi="仿宋" w:eastAsia="仿宋" w:cs="仿宋"/>
          <w:b/>
          <w:sz w:val="28"/>
          <w:szCs w:val="28"/>
          <w:shd w:val="clear" w:color="auto" w:fill="FFFFFF"/>
        </w:rPr>
      </w:pPr>
      <w:bookmarkStart w:id="11" w:name="_Toc107297762"/>
      <w:r>
        <w:rPr>
          <w:rFonts w:hint="eastAsia" w:ascii="仿宋" w:hAnsi="仿宋" w:eastAsia="仿宋" w:cs="仿宋"/>
          <w:b/>
          <w:sz w:val="28"/>
          <w:szCs w:val="28"/>
          <w:shd w:val="clear" w:color="auto" w:fill="FFFFFF"/>
        </w:rPr>
        <w:t>供应商资格要求</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1.供应商必须符合《中华人民共和国政府采购法》第二十二条规定的条件；</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2.供应商具有独立承担民事责任能力的，在中华人民共和国境内注册的法人，且具备从事本项目经营范围和能力；</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3.供应商具有依法缴纳税收和社会保障资金的良好记录；</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4.供应商（含其授权的下属单位、分支机构）近三年内在经营活动中没有重大违法行为；</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5.本项目的特定资格要求：</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①供应商具有广东政府采购智慧云平台内的定点采购资格；</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②</w:t>
      </w:r>
      <w:bookmarkStart w:id="12" w:name="OLE_LINK2"/>
      <w:r>
        <w:rPr>
          <w:rFonts w:hint="eastAsia" w:ascii="仿宋" w:hAnsi="仿宋" w:eastAsia="仿宋" w:cs="仿宋"/>
          <w:b/>
          <w:sz w:val="28"/>
          <w:szCs w:val="28"/>
        </w:rPr>
        <w:t>供应商要具有</w:t>
      </w:r>
      <w:bookmarkStart w:id="13" w:name="OLE_LINK3"/>
      <w:bookmarkStart w:id="15" w:name="_GoBack"/>
      <w:r>
        <w:rPr>
          <w:rFonts w:hint="eastAsia" w:ascii="仿宋" w:hAnsi="仿宋" w:eastAsia="仿宋" w:cs="仿宋"/>
          <w:b/>
          <w:sz w:val="28"/>
          <w:szCs w:val="28"/>
        </w:rPr>
        <w:t>广东省财政厅备案资质证书</w:t>
      </w:r>
      <w:bookmarkEnd w:id="12"/>
      <w:bookmarkEnd w:id="13"/>
      <w:bookmarkEnd w:id="15"/>
      <w:r>
        <w:rPr>
          <w:rFonts w:hint="eastAsia" w:ascii="仿宋" w:hAnsi="仿宋" w:eastAsia="仿宋" w:cs="仿宋"/>
          <w:b/>
          <w:sz w:val="28"/>
          <w:szCs w:val="28"/>
        </w:rPr>
        <w:t>；</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③</w:t>
      </w:r>
      <w:bookmarkStart w:id="14" w:name="OLE_LINK1"/>
      <w:r>
        <w:rPr>
          <w:rFonts w:hint="eastAsia" w:ascii="仿宋" w:hAnsi="仿宋" w:eastAsia="仿宋" w:cs="仿宋"/>
          <w:b/>
          <w:sz w:val="28"/>
          <w:szCs w:val="28"/>
        </w:rPr>
        <w:t>评估师具有非新登记见习执业的资产评估协会证书，近五年中国资产评估协会无违规。</w:t>
      </w:r>
      <w:bookmarkEnd w:id="14"/>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6.本项目不接受联合体参加。</w:t>
      </w:r>
    </w:p>
    <w:p>
      <w:pPr>
        <w:spacing w:line="360" w:lineRule="auto"/>
        <w:ind w:firstLine="560" w:firstLineChars="200"/>
        <w:rPr>
          <w:rFonts w:hint="eastAsia" w:ascii="仿宋" w:hAnsi="仿宋" w:eastAsia="仿宋" w:cs="仿宋"/>
          <w:bCs/>
          <w:sz w:val="28"/>
          <w:szCs w:val="28"/>
        </w:rPr>
      </w:pPr>
    </w:p>
    <w:p>
      <w:pPr>
        <w:spacing w:line="360" w:lineRule="auto"/>
        <w:ind w:firstLine="560" w:firstLineChars="200"/>
        <w:rPr>
          <w:rFonts w:hint="eastAsia" w:ascii="仿宋" w:hAnsi="仿宋" w:eastAsia="仿宋" w:cs="仿宋"/>
          <w:bCs/>
          <w:sz w:val="28"/>
          <w:szCs w:val="28"/>
        </w:rPr>
      </w:pPr>
    </w:p>
    <w:p>
      <w:pPr>
        <w:spacing w:line="360" w:lineRule="auto"/>
        <w:ind w:firstLine="560" w:firstLineChars="200"/>
        <w:rPr>
          <w:rFonts w:hint="eastAsia" w:ascii="仿宋" w:hAnsi="仿宋" w:eastAsia="仿宋" w:cs="仿宋"/>
          <w:bCs/>
          <w:sz w:val="28"/>
          <w:szCs w:val="28"/>
        </w:rPr>
      </w:pPr>
    </w:p>
    <w:p>
      <w:pPr>
        <w:spacing w:line="360" w:lineRule="auto"/>
        <w:ind w:firstLine="560" w:firstLineChars="200"/>
        <w:rPr>
          <w:rFonts w:hint="eastAsia" w:ascii="仿宋" w:hAnsi="仿宋" w:eastAsia="仿宋" w:cs="仿宋"/>
          <w:bCs/>
          <w:sz w:val="28"/>
          <w:szCs w:val="28"/>
        </w:rPr>
      </w:pPr>
    </w:p>
    <w:p>
      <w:pPr>
        <w:spacing w:before="312" w:beforeLines="100" w:after="312" w:afterLines="100" w:line="360" w:lineRule="auto"/>
        <w:jc w:val="center"/>
        <w:outlineLvl w:val="1"/>
        <w:rPr>
          <w:rFonts w:hint="eastAsia"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二、</w:t>
      </w:r>
      <w:bookmarkEnd w:id="11"/>
      <w:r>
        <w:rPr>
          <w:rFonts w:hint="eastAsia" w:ascii="仿宋" w:hAnsi="仿宋" w:eastAsia="仿宋" w:cs="仿宋"/>
          <w:b/>
          <w:sz w:val="28"/>
          <w:szCs w:val="28"/>
          <w:shd w:val="clear" w:color="auto" w:fill="FFFFFF"/>
        </w:rPr>
        <w:t>项目技术服务要求</w:t>
      </w:r>
    </w:p>
    <w:p>
      <w:pPr>
        <w:spacing w:line="360" w:lineRule="auto"/>
        <w:outlineLvl w:val="2"/>
        <w:rPr>
          <w:rFonts w:hint="eastAsia" w:ascii="仿宋" w:hAnsi="仿宋" w:eastAsia="仿宋" w:cs="仿宋"/>
          <w:b/>
          <w:sz w:val="28"/>
          <w:szCs w:val="28"/>
        </w:rPr>
      </w:pPr>
      <w:r>
        <w:rPr>
          <w:rFonts w:hint="eastAsia" w:ascii="仿宋" w:hAnsi="仿宋" w:eastAsia="仿宋" w:cs="仿宋"/>
          <w:b/>
          <w:sz w:val="28"/>
          <w:szCs w:val="28"/>
        </w:rPr>
        <w:t>（一）项目概况</w:t>
      </w:r>
    </w:p>
    <w:p>
      <w:pPr>
        <w:spacing w:line="360" w:lineRule="auto"/>
        <w:ind w:firstLine="560" w:firstLineChars="200"/>
        <w:rPr>
          <w:rFonts w:hint="eastAsia" w:ascii="仿宋" w:hAnsi="仿宋" w:eastAsia="仿宋" w:cs="仿宋"/>
          <w:color w:val="333333"/>
          <w:sz w:val="28"/>
          <w:szCs w:val="28"/>
          <w:shd w:val="clear" w:color="auto" w:fill="FFFFFF"/>
        </w:rPr>
      </w:pPr>
      <w:r>
        <w:rPr>
          <w:rFonts w:hint="eastAsia" w:ascii="仿宋" w:hAnsi="仿宋" w:eastAsia="仿宋" w:cs="仿宋"/>
          <w:bCs/>
          <w:sz w:val="28"/>
          <w:szCs w:val="28"/>
        </w:rPr>
        <w:t>1.对佛山市第二人民医院卫国路院区和绿岛湖院区自助设备（自助售卖机、轮椅、充电宝）进行投放前租金价值评估服务，为采购人后续引进供应商进行自助设备投放提供租金价值依据，</w:t>
      </w:r>
      <w:r>
        <w:rPr>
          <w:rFonts w:hint="eastAsia" w:ascii="仿宋" w:hAnsi="仿宋" w:eastAsia="仿宋" w:cs="仿宋"/>
          <w:color w:val="333333"/>
          <w:sz w:val="28"/>
          <w:szCs w:val="28"/>
          <w:shd w:val="clear" w:color="auto" w:fill="FFFFFF"/>
        </w:rPr>
        <w:t>评估基准日以采购方通知为准。</w:t>
      </w:r>
    </w:p>
    <w:p>
      <w:pPr>
        <w:spacing w:line="360" w:lineRule="auto"/>
        <w:ind w:firstLine="560" w:firstLineChars="20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2.具体评估对象及数量：</w:t>
      </w:r>
    </w:p>
    <w:tbl>
      <w:tblPr>
        <w:tblStyle w:val="5"/>
        <w:tblW w:w="9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2122"/>
        <w:gridCol w:w="1890"/>
        <w:gridCol w:w="2234"/>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595" w:type="dxa"/>
            <w:vMerge w:val="restart"/>
            <w:shd w:val="clear" w:color="auto" w:fill="CFCECE" w:themeFill="background2" w:themeFillShade="E5"/>
            <w:vAlign w:val="center"/>
          </w:tcPr>
          <w:p>
            <w:pPr>
              <w:widowControl/>
              <w:jc w:val="center"/>
              <w:textAlignment w:val="center"/>
              <w:rPr>
                <w:rFonts w:hint="eastAsia" w:ascii="仿宋" w:hAnsi="仿宋" w:eastAsia="仿宋" w:cs="仿宋"/>
                <w:b/>
                <w:bCs/>
                <w:color w:val="333333"/>
                <w:sz w:val="24"/>
                <w:shd w:val="clear" w:color="auto" w:fill="FFFFFF"/>
              </w:rPr>
            </w:pPr>
            <w:r>
              <w:rPr>
                <w:rFonts w:hint="eastAsia" w:ascii="仿宋" w:hAnsi="仿宋" w:eastAsia="仿宋" w:cs="仿宋"/>
                <w:b/>
                <w:bCs/>
                <w:color w:val="000000"/>
                <w:kern w:val="0"/>
                <w:sz w:val="24"/>
                <w:lang w:bidi="ar"/>
              </w:rPr>
              <w:t>序号</w:t>
            </w:r>
          </w:p>
        </w:tc>
        <w:tc>
          <w:tcPr>
            <w:tcW w:w="2122" w:type="dxa"/>
            <w:vMerge w:val="restart"/>
            <w:shd w:val="clear" w:color="auto" w:fill="CFCECE" w:themeFill="background2" w:themeFillShade="E5"/>
            <w:vAlign w:val="center"/>
          </w:tcPr>
          <w:p>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地址</w:t>
            </w:r>
          </w:p>
        </w:tc>
        <w:tc>
          <w:tcPr>
            <w:tcW w:w="5805" w:type="dxa"/>
            <w:gridSpan w:val="3"/>
            <w:shd w:val="clear" w:color="auto" w:fill="CFCECE" w:themeFill="background2" w:themeFillShade="E5"/>
            <w:vAlign w:val="center"/>
          </w:tcPr>
          <w:p>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评估对象具体信息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1595" w:type="dxa"/>
            <w:vMerge w:val="continue"/>
            <w:shd w:val="clear" w:color="auto" w:fill="CFCECE" w:themeFill="background2" w:themeFillShade="E5"/>
            <w:vAlign w:val="center"/>
          </w:tcPr>
          <w:p>
            <w:pPr>
              <w:widowControl/>
              <w:jc w:val="center"/>
              <w:textAlignment w:val="center"/>
              <w:rPr>
                <w:rFonts w:hint="eastAsia" w:ascii="仿宋" w:hAnsi="仿宋" w:eastAsia="仿宋" w:cs="仿宋"/>
                <w:b/>
                <w:bCs/>
                <w:color w:val="000000"/>
                <w:kern w:val="0"/>
                <w:sz w:val="24"/>
                <w:lang w:bidi="ar"/>
              </w:rPr>
            </w:pPr>
          </w:p>
        </w:tc>
        <w:tc>
          <w:tcPr>
            <w:tcW w:w="2122" w:type="dxa"/>
            <w:vMerge w:val="continue"/>
            <w:shd w:val="clear" w:color="auto" w:fill="CFCECE" w:themeFill="background2" w:themeFillShade="E5"/>
            <w:vAlign w:val="center"/>
          </w:tcPr>
          <w:p>
            <w:pPr>
              <w:widowControl/>
              <w:jc w:val="center"/>
              <w:textAlignment w:val="center"/>
              <w:rPr>
                <w:rFonts w:hint="eastAsia" w:ascii="仿宋" w:hAnsi="仿宋" w:eastAsia="仿宋" w:cs="仿宋"/>
                <w:b/>
                <w:bCs/>
                <w:color w:val="000000"/>
                <w:kern w:val="0"/>
                <w:sz w:val="24"/>
                <w:lang w:bidi="ar"/>
              </w:rPr>
            </w:pPr>
          </w:p>
        </w:tc>
        <w:tc>
          <w:tcPr>
            <w:tcW w:w="1890" w:type="dxa"/>
            <w:shd w:val="clear" w:color="auto" w:fill="CFCECE" w:themeFill="background2" w:themeFillShade="E5"/>
            <w:vAlign w:val="center"/>
          </w:tcPr>
          <w:p>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设备类型</w:t>
            </w:r>
          </w:p>
        </w:tc>
        <w:tc>
          <w:tcPr>
            <w:tcW w:w="2234" w:type="dxa"/>
            <w:shd w:val="clear" w:color="auto" w:fill="CFCECE" w:themeFill="background2" w:themeFillShade="E5"/>
            <w:vAlign w:val="center"/>
          </w:tcPr>
          <w:p>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具体位置</w:t>
            </w:r>
          </w:p>
        </w:tc>
        <w:tc>
          <w:tcPr>
            <w:tcW w:w="1681" w:type="dxa"/>
            <w:shd w:val="clear" w:color="auto" w:fill="CFCECE" w:themeFill="background2" w:themeFillShade="E5"/>
            <w:vAlign w:val="center"/>
          </w:tcPr>
          <w:p>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595"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2122" w:type="dxa"/>
            <w:vMerge w:val="restart"/>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佛山市禅城区卫国路78号佛山市第二人民医院卫国路院区</w:t>
            </w:r>
          </w:p>
        </w:tc>
        <w:tc>
          <w:tcPr>
            <w:tcW w:w="1890" w:type="dxa"/>
            <w:vMerge w:val="restart"/>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自助售卖机</w:t>
            </w:r>
          </w:p>
        </w:tc>
        <w:tc>
          <w:tcPr>
            <w:tcW w:w="2234"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2号楼1楼等候区</w:t>
            </w:r>
          </w:p>
        </w:tc>
        <w:tc>
          <w:tcPr>
            <w:tcW w:w="1681"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595"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w:t>
            </w:r>
          </w:p>
        </w:tc>
        <w:tc>
          <w:tcPr>
            <w:tcW w:w="2122" w:type="dxa"/>
            <w:vMerge w:val="continue"/>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p>
        </w:tc>
        <w:tc>
          <w:tcPr>
            <w:tcW w:w="1890" w:type="dxa"/>
            <w:vMerge w:val="continue"/>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p>
        </w:tc>
        <w:tc>
          <w:tcPr>
            <w:tcW w:w="2234"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1号楼1楼</w:t>
            </w:r>
          </w:p>
        </w:tc>
        <w:tc>
          <w:tcPr>
            <w:tcW w:w="1681"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595"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w:t>
            </w:r>
          </w:p>
        </w:tc>
        <w:tc>
          <w:tcPr>
            <w:tcW w:w="2122" w:type="dxa"/>
            <w:vMerge w:val="continue"/>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p>
        </w:tc>
        <w:tc>
          <w:tcPr>
            <w:tcW w:w="1890" w:type="dxa"/>
            <w:vMerge w:val="continue"/>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p>
        </w:tc>
        <w:tc>
          <w:tcPr>
            <w:tcW w:w="2234"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6号楼1楼</w:t>
            </w:r>
          </w:p>
        </w:tc>
        <w:tc>
          <w:tcPr>
            <w:tcW w:w="1681"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595"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w:t>
            </w:r>
          </w:p>
        </w:tc>
        <w:tc>
          <w:tcPr>
            <w:tcW w:w="2122" w:type="dxa"/>
            <w:vMerge w:val="continue"/>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p>
        </w:tc>
        <w:tc>
          <w:tcPr>
            <w:tcW w:w="1890" w:type="dxa"/>
            <w:vMerge w:val="restart"/>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共享轮椅</w:t>
            </w:r>
          </w:p>
        </w:tc>
        <w:tc>
          <w:tcPr>
            <w:tcW w:w="2234"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1号楼门口</w:t>
            </w:r>
          </w:p>
        </w:tc>
        <w:tc>
          <w:tcPr>
            <w:tcW w:w="1681"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595"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w:t>
            </w:r>
          </w:p>
        </w:tc>
        <w:tc>
          <w:tcPr>
            <w:tcW w:w="2122" w:type="dxa"/>
            <w:vMerge w:val="continue"/>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p>
        </w:tc>
        <w:tc>
          <w:tcPr>
            <w:tcW w:w="1890" w:type="dxa"/>
            <w:vMerge w:val="continue"/>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p>
        </w:tc>
        <w:tc>
          <w:tcPr>
            <w:tcW w:w="2234"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2号楼门口</w:t>
            </w:r>
          </w:p>
        </w:tc>
        <w:tc>
          <w:tcPr>
            <w:tcW w:w="1681"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595"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w:t>
            </w:r>
          </w:p>
        </w:tc>
        <w:tc>
          <w:tcPr>
            <w:tcW w:w="2122" w:type="dxa"/>
            <w:vMerge w:val="continue"/>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p>
        </w:tc>
        <w:tc>
          <w:tcPr>
            <w:tcW w:w="1890" w:type="dxa"/>
            <w:vMerge w:val="continue"/>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p>
        </w:tc>
        <w:tc>
          <w:tcPr>
            <w:tcW w:w="2234"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6号楼连廊处</w:t>
            </w:r>
          </w:p>
        </w:tc>
        <w:tc>
          <w:tcPr>
            <w:tcW w:w="1681"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595"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w:t>
            </w:r>
          </w:p>
        </w:tc>
        <w:tc>
          <w:tcPr>
            <w:tcW w:w="2122" w:type="dxa"/>
            <w:vMerge w:val="continue"/>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p>
        </w:tc>
        <w:tc>
          <w:tcPr>
            <w:tcW w:w="1890" w:type="dxa"/>
            <w:vMerge w:val="restart"/>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共享充电宝</w:t>
            </w:r>
          </w:p>
        </w:tc>
        <w:tc>
          <w:tcPr>
            <w:tcW w:w="2234"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收费大厅旁</w:t>
            </w:r>
          </w:p>
        </w:tc>
        <w:tc>
          <w:tcPr>
            <w:tcW w:w="1681"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595"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w:t>
            </w:r>
          </w:p>
        </w:tc>
        <w:tc>
          <w:tcPr>
            <w:tcW w:w="2122" w:type="dxa"/>
            <w:vMerge w:val="continue"/>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p>
        </w:tc>
        <w:tc>
          <w:tcPr>
            <w:tcW w:w="1890" w:type="dxa"/>
            <w:vMerge w:val="continue"/>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p>
        </w:tc>
        <w:tc>
          <w:tcPr>
            <w:tcW w:w="2234"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2号楼大堂等候区</w:t>
            </w:r>
          </w:p>
        </w:tc>
        <w:tc>
          <w:tcPr>
            <w:tcW w:w="1681"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595"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w:t>
            </w:r>
          </w:p>
        </w:tc>
        <w:tc>
          <w:tcPr>
            <w:tcW w:w="2122" w:type="dxa"/>
            <w:vMerge w:val="continue"/>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p>
        </w:tc>
        <w:tc>
          <w:tcPr>
            <w:tcW w:w="1890" w:type="dxa"/>
            <w:vMerge w:val="continue"/>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p>
        </w:tc>
        <w:tc>
          <w:tcPr>
            <w:tcW w:w="2234"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6号楼1楼</w:t>
            </w:r>
          </w:p>
        </w:tc>
        <w:tc>
          <w:tcPr>
            <w:tcW w:w="1681"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595"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w:t>
            </w:r>
          </w:p>
        </w:tc>
        <w:tc>
          <w:tcPr>
            <w:tcW w:w="2122" w:type="dxa"/>
            <w:vMerge w:val="restart"/>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广东省佛山市禅城区禅港东路9号佛山市第二人民医院绿岛湖院区</w:t>
            </w:r>
          </w:p>
        </w:tc>
        <w:tc>
          <w:tcPr>
            <w:tcW w:w="1890" w:type="dxa"/>
            <w:vMerge w:val="restart"/>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自助售卖机</w:t>
            </w:r>
          </w:p>
        </w:tc>
        <w:tc>
          <w:tcPr>
            <w:tcW w:w="2234"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门诊1楼等候大厅</w:t>
            </w:r>
          </w:p>
        </w:tc>
        <w:tc>
          <w:tcPr>
            <w:tcW w:w="1681"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595"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w:t>
            </w:r>
          </w:p>
        </w:tc>
        <w:tc>
          <w:tcPr>
            <w:tcW w:w="2122" w:type="dxa"/>
            <w:vMerge w:val="continue"/>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p>
        </w:tc>
        <w:tc>
          <w:tcPr>
            <w:tcW w:w="1890" w:type="dxa"/>
            <w:vMerge w:val="continue"/>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p>
        </w:tc>
        <w:tc>
          <w:tcPr>
            <w:tcW w:w="2234"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眼科楼1楼等候区</w:t>
            </w:r>
          </w:p>
        </w:tc>
        <w:tc>
          <w:tcPr>
            <w:tcW w:w="1681"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595"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w:t>
            </w:r>
          </w:p>
        </w:tc>
        <w:tc>
          <w:tcPr>
            <w:tcW w:w="2122" w:type="dxa"/>
            <w:vMerge w:val="continue"/>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p>
        </w:tc>
        <w:tc>
          <w:tcPr>
            <w:tcW w:w="1890" w:type="dxa"/>
            <w:vMerge w:val="continue"/>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p>
        </w:tc>
        <w:tc>
          <w:tcPr>
            <w:tcW w:w="2234"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医技楼1楼急诊科</w:t>
            </w:r>
          </w:p>
        </w:tc>
        <w:tc>
          <w:tcPr>
            <w:tcW w:w="1681"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595"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w:t>
            </w:r>
          </w:p>
        </w:tc>
        <w:tc>
          <w:tcPr>
            <w:tcW w:w="2122" w:type="dxa"/>
            <w:vMerge w:val="continue"/>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p>
        </w:tc>
        <w:tc>
          <w:tcPr>
            <w:tcW w:w="1890" w:type="dxa"/>
            <w:vMerge w:val="restart"/>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共享轮椅</w:t>
            </w:r>
          </w:p>
        </w:tc>
        <w:tc>
          <w:tcPr>
            <w:tcW w:w="2234"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负二楼停车区</w:t>
            </w:r>
          </w:p>
        </w:tc>
        <w:tc>
          <w:tcPr>
            <w:tcW w:w="1681"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595"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w:t>
            </w:r>
          </w:p>
        </w:tc>
        <w:tc>
          <w:tcPr>
            <w:tcW w:w="2122" w:type="dxa"/>
            <w:vMerge w:val="continue"/>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p>
        </w:tc>
        <w:tc>
          <w:tcPr>
            <w:tcW w:w="1890" w:type="dxa"/>
            <w:vMerge w:val="continue"/>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p>
        </w:tc>
        <w:tc>
          <w:tcPr>
            <w:tcW w:w="2234"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负一楼停车区</w:t>
            </w:r>
          </w:p>
        </w:tc>
        <w:tc>
          <w:tcPr>
            <w:tcW w:w="1681"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595"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w:t>
            </w:r>
          </w:p>
        </w:tc>
        <w:tc>
          <w:tcPr>
            <w:tcW w:w="2122" w:type="dxa"/>
            <w:vMerge w:val="continue"/>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p>
        </w:tc>
        <w:tc>
          <w:tcPr>
            <w:tcW w:w="1890" w:type="dxa"/>
            <w:vMerge w:val="continue"/>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p>
        </w:tc>
        <w:tc>
          <w:tcPr>
            <w:tcW w:w="2234"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门诊1楼等候大厅</w:t>
            </w:r>
          </w:p>
        </w:tc>
        <w:tc>
          <w:tcPr>
            <w:tcW w:w="1681"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595"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w:t>
            </w:r>
          </w:p>
        </w:tc>
        <w:tc>
          <w:tcPr>
            <w:tcW w:w="2122" w:type="dxa"/>
            <w:vMerge w:val="continue"/>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p>
        </w:tc>
        <w:tc>
          <w:tcPr>
            <w:tcW w:w="1890" w:type="dxa"/>
            <w:vMerge w:val="restart"/>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共享充电宝</w:t>
            </w:r>
          </w:p>
        </w:tc>
        <w:tc>
          <w:tcPr>
            <w:tcW w:w="2234"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门诊1楼等候大厅</w:t>
            </w:r>
          </w:p>
        </w:tc>
        <w:tc>
          <w:tcPr>
            <w:tcW w:w="1681"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trPr>
        <w:tc>
          <w:tcPr>
            <w:tcW w:w="1595"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w:t>
            </w:r>
          </w:p>
        </w:tc>
        <w:tc>
          <w:tcPr>
            <w:tcW w:w="2122" w:type="dxa"/>
            <w:vMerge w:val="continue"/>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p>
        </w:tc>
        <w:tc>
          <w:tcPr>
            <w:tcW w:w="1890" w:type="dxa"/>
            <w:vMerge w:val="continue"/>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p>
        </w:tc>
        <w:tc>
          <w:tcPr>
            <w:tcW w:w="2234"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医技楼1楼出入院办理处</w:t>
            </w:r>
          </w:p>
        </w:tc>
        <w:tc>
          <w:tcPr>
            <w:tcW w:w="1681"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595"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w:t>
            </w:r>
          </w:p>
        </w:tc>
        <w:tc>
          <w:tcPr>
            <w:tcW w:w="2122" w:type="dxa"/>
            <w:vMerge w:val="continue"/>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p>
        </w:tc>
        <w:tc>
          <w:tcPr>
            <w:tcW w:w="1890" w:type="dxa"/>
            <w:vMerge w:val="continue"/>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p>
        </w:tc>
        <w:tc>
          <w:tcPr>
            <w:tcW w:w="2234"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眼科楼1楼等候区</w:t>
            </w:r>
          </w:p>
        </w:tc>
        <w:tc>
          <w:tcPr>
            <w:tcW w:w="1681"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7841" w:type="dxa"/>
            <w:gridSpan w:val="4"/>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合计</w:t>
            </w:r>
          </w:p>
        </w:tc>
        <w:tc>
          <w:tcPr>
            <w:tcW w:w="1681" w:type="dxa"/>
            <w:shd w:val="clear" w:color="auto" w:fill="FFFFFF" w:themeFill="background1"/>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w:t>
            </w:r>
          </w:p>
        </w:tc>
      </w:tr>
    </w:tbl>
    <w:p>
      <w:pPr>
        <w:spacing w:line="360" w:lineRule="auto"/>
        <w:outlineLvl w:val="2"/>
        <w:rPr>
          <w:rFonts w:hint="eastAsia" w:ascii="仿宋" w:hAnsi="仿宋" w:eastAsia="仿宋" w:cs="仿宋"/>
          <w:b/>
          <w:sz w:val="28"/>
          <w:szCs w:val="28"/>
        </w:rPr>
      </w:pPr>
      <w:r>
        <w:rPr>
          <w:rFonts w:hint="eastAsia" w:ascii="仿宋" w:hAnsi="仿宋" w:eastAsia="仿宋" w:cs="仿宋"/>
          <w:b/>
          <w:sz w:val="28"/>
          <w:szCs w:val="28"/>
        </w:rPr>
        <w:t>（二）服务要求</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1.中标供应商通过执行资产评估工作，出具资产评估报告。</w:t>
      </w:r>
    </w:p>
    <w:p>
      <w:pPr>
        <w:spacing w:line="360" w:lineRule="auto"/>
        <w:ind w:firstLine="560" w:firstLineChars="200"/>
        <w:rPr>
          <w:rFonts w:hint="eastAsia" w:ascii="仿宋" w:hAnsi="仿宋" w:cs="仿宋"/>
          <w:bCs/>
          <w:sz w:val="28"/>
          <w:szCs w:val="28"/>
          <w:highlight w:val="yellow"/>
        </w:rPr>
      </w:pPr>
      <w:r>
        <w:rPr>
          <w:rFonts w:hint="eastAsia" w:ascii="仿宋" w:hAnsi="仿宋" w:eastAsia="仿宋" w:cs="仿宋"/>
          <w:bCs/>
          <w:sz w:val="28"/>
          <w:szCs w:val="28"/>
        </w:rPr>
        <w:t>★2.</w:t>
      </w:r>
      <w:r>
        <w:rPr>
          <w:rFonts w:hint="eastAsia" w:ascii="仿宋" w:hAnsi="仿宋" w:eastAsia="仿宋" w:cs="仿宋"/>
          <w:bCs/>
          <w:sz w:val="28"/>
          <w:szCs w:val="28"/>
          <w:highlight w:val="yellow"/>
        </w:rPr>
        <w:t>中标供应商出具的评估报告必须根据采购人两个院区发展的不同阶段进行阶梯式价值评估（卫国路院区目前开放床位约1100张，绿岛湖院区目前开放床位约400张，逐年增长），并综合两个院区不同阶段的评估结果，形成最终独立的租金价值意见。价值评估对比案例的依据须借鉴同类型医院自助设备的相关数据</w:t>
      </w:r>
      <w:r>
        <w:rPr>
          <w:rFonts w:hint="eastAsia"/>
          <w:bCs/>
          <w:highlight w:val="yellow"/>
        </w:rPr>
        <w:t>。</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3.服务时间：合同签订后7个工作日内完成资产评估服务，向采购人提交《资产评估报告（征求意见稿）》，在收到采购人出具正式评估报告通知后3个工作日内出具正式《资产评估报告》。</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4.服务地点：佛山市禅城区佛山市第二人民医院卫国路院区、绿岛湖院区。</w:t>
      </w:r>
    </w:p>
    <w:p>
      <w:pPr>
        <w:spacing w:line="360" w:lineRule="auto"/>
        <w:outlineLvl w:val="2"/>
        <w:rPr>
          <w:rFonts w:hint="eastAsia" w:ascii="仿宋" w:hAnsi="仿宋" w:eastAsia="仿宋" w:cs="仿宋"/>
          <w:b/>
          <w:sz w:val="28"/>
          <w:szCs w:val="28"/>
        </w:rPr>
      </w:pPr>
      <w:r>
        <w:rPr>
          <w:rFonts w:hint="eastAsia" w:ascii="仿宋" w:hAnsi="仿宋" w:eastAsia="仿宋" w:cs="仿宋"/>
          <w:b/>
          <w:sz w:val="28"/>
          <w:szCs w:val="28"/>
        </w:rPr>
        <w:t>（三）评估准则要求</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供应商参照《资产评估准则一基本准则》（财资［2017]43号）、《资产评估执业准则-﹣利用专家工作及相关报告》（中评协［2017]35号）、《资产评估执业准则﹣﹣资产评估报告》（中评协［2018]35号）;《资产评估执业准则﹣﹣资产评估程序》（中评协（2018)36号）、《资产评估执业准则﹣﹣企业价值》（中评协（2018)38号）规定出具资产评估报告。</w:t>
      </w:r>
    </w:p>
    <w:p>
      <w:pPr>
        <w:spacing w:before="312" w:beforeLines="100" w:after="312" w:afterLines="100" w:line="360" w:lineRule="auto"/>
        <w:jc w:val="center"/>
        <w:outlineLvl w:val="1"/>
        <w:rPr>
          <w:rFonts w:hint="eastAsia" w:ascii="仿宋" w:hAnsi="仿宋" w:eastAsia="仿宋" w:cs="仿宋"/>
          <w:b/>
          <w:sz w:val="28"/>
          <w:szCs w:val="28"/>
          <w:shd w:val="clear" w:color="auto" w:fill="FFFFFF"/>
        </w:rPr>
      </w:pPr>
    </w:p>
    <w:p>
      <w:pPr>
        <w:spacing w:before="312" w:beforeLines="100" w:after="312" w:afterLines="100" w:line="360" w:lineRule="auto"/>
        <w:jc w:val="center"/>
        <w:outlineLvl w:val="1"/>
        <w:rPr>
          <w:rFonts w:hint="eastAsia" w:ascii="仿宋" w:hAnsi="仿宋" w:eastAsia="仿宋" w:cs="仿宋"/>
          <w:b/>
          <w:sz w:val="28"/>
          <w:szCs w:val="28"/>
          <w:shd w:val="clear" w:color="auto" w:fill="FFFFFF"/>
        </w:rPr>
      </w:pPr>
    </w:p>
    <w:p>
      <w:pPr>
        <w:spacing w:before="312" w:beforeLines="100" w:after="312" w:afterLines="100" w:line="360" w:lineRule="auto"/>
        <w:jc w:val="center"/>
        <w:outlineLvl w:val="1"/>
        <w:rPr>
          <w:rFonts w:hint="eastAsia" w:ascii="仿宋" w:hAnsi="仿宋" w:eastAsia="仿宋" w:cs="仿宋"/>
          <w:b/>
          <w:sz w:val="28"/>
          <w:szCs w:val="28"/>
          <w:shd w:val="clear" w:color="auto" w:fill="FFFFFF"/>
        </w:rPr>
      </w:pPr>
    </w:p>
    <w:p>
      <w:pPr>
        <w:spacing w:before="312" w:beforeLines="100" w:after="312" w:afterLines="100" w:line="360" w:lineRule="auto"/>
        <w:jc w:val="center"/>
        <w:outlineLvl w:val="1"/>
        <w:rPr>
          <w:rFonts w:hint="eastAsia" w:ascii="仿宋" w:hAnsi="仿宋" w:eastAsia="仿宋" w:cs="仿宋"/>
          <w:b/>
          <w:sz w:val="28"/>
          <w:szCs w:val="28"/>
          <w:shd w:val="clear" w:color="auto" w:fill="FFFFFF"/>
        </w:rPr>
      </w:pPr>
    </w:p>
    <w:p>
      <w:pPr>
        <w:spacing w:before="312" w:beforeLines="100" w:after="312" w:afterLines="100" w:line="360" w:lineRule="auto"/>
        <w:jc w:val="center"/>
        <w:outlineLvl w:val="1"/>
        <w:rPr>
          <w:rFonts w:hint="eastAsia" w:ascii="仿宋" w:hAnsi="仿宋" w:eastAsia="仿宋" w:cs="仿宋"/>
          <w:b/>
          <w:sz w:val="28"/>
          <w:szCs w:val="28"/>
          <w:shd w:val="clear" w:color="auto" w:fill="FFFFFF"/>
        </w:rPr>
      </w:pPr>
    </w:p>
    <w:p>
      <w:pPr>
        <w:spacing w:before="312" w:beforeLines="100" w:after="312" w:afterLines="100" w:line="360" w:lineRule="auto"/>
        <w:jc w:val="center"/>
        <w:outlineLvl w:val="1"/>
        <w:rPr>
          <w:rFonts w:hint="eastAsia" w:ascii="仿宋" w:hAnsi="仿宋" w:eastAsia="仿宋" w:cs="仿宋"/>
          <w:b/>
          <w:sz w:val="28"/>
          <w:szCs w:val="28"/>
          <w:shd w:val="clear" w:color="auto" w:fill="FFFFFF"/>
        </w:rPr>
      </w:pPr>
    </w:p>
    <w:p>
      <w:pPr>
        <w:spacing w:before="312" w:beforeLines="100" w:after="312" w:afterLines="100" w:line="360" w:lineRule="auto"/>
        <w:jc w:val="center"/>
        <w:outlineLvl w:val="1"/>
        <w:rPr>
          <w:rFonts w:hint="eastAsia" w:ascii="仿宋" w:hAnsi="仿宋" w:eastAsia="仿宋" w:cs="仿宋"/>
          <w:b/>
          <w:sz w:val="28"/>
          <w:szCs w:val="28"/>
          <w:shd w:val="clear" w:color="auto" w:fill="FFFFFF"/>
        </w:rPr>
      </w:pPr>
    </w:p>
    <w:p>
      <w:pPr>
        <w:spacing w:before="312" w:beforeLines="100" w:after="312" w:afterLines="100" w:line="360" w:lineRule="auto"/>
        <w:jc w:val="center"/>
        <w:outlineLvl w:val="1"/>
        <w:rPr>
          <w:rFonts w:hint="eastAsia" w:ascii="仿宋" w:hAnsi="仿宋" w:eastAsia="仿宋" w:cs="仿宋"/>
          <w:b/>
          <w:sz w:val="28"/>
          <w:szCs w:val="28"/>
          <w:shd w:val="clear" w:color="auto" w:fill="FFFFFF"/>
        </w:rPr>
      </w:pPr>
    </w:p>
    <w:p>
      <w:pPr>
        <w:spacing w:before="312" w:beforeLines="100" w:after="312" w:afterLines="100" w:line="360" w:lineRule="auto"/>
        <w:jc w:val="both"/>
        <w:outlineLvl w:val="1"/>
        <w:rPr>
          <w:rFonts w:hint="eastAsia"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三、项目商务要求</w:t>
      </w:r>
    </w:p>
    <w:p>
      <w:pPr>
        <w:spacing w:line="360" w:lineRule="auto"/>
        <w:outlineLvl w:val="2"/>
        <w:rPr>
          <w:rFonts w:hint="eastAsia" w:ascii="仿宋" w:hAnsi="仿宋" w:eastAsia="仿宋" w:cs="仿宋"/>
          <w:b/>
          <w:sz w:val="28"/>
          <w:szCs w:val="28"/>
        </w:rPr>
      </w:pPr>
      <w:r>
        <w:rPr>
          <w:rFonts w:hint="eastAsia" w:ascii="仿宋" w:hAnsi="仿宋" w:eastAsia="仿宋" w:cs="仿宋"/>
          <w:b/>
          <w:sz w:val="28"/>
          <w:szCs w:val="28"/>
        </w:rPr>
        <w:t>（一）报价要求</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报价包括技术服务费、技术人员的工勤费用（包括工资、福利、交通、住宿、通讯费用等）、培训辅导、全额含税发票、雇员费用、项目实施过程中的应预见或不可预见费用等。</w:t>
      </w:r>
    </w:p>
    <w:p>
      <w:pPr>
        <w:spacing w:line="360" w:lineRule="auto"/>
        <w:ind w:firstLine="560" w:firstLineChars="200"/>
        <w:rPr>
          <w:rFonts w:hint="eastAsia" w:ascii="仿宋" w:hAnsi="仿宋" w:eastAsia="仿宋" w:cs="仿宋"/>
          <w:bCs/>
          <w:sz w:val="28"/>
          <w:szCs w:val="28"/>
        </w:rPr>
      </w:pPr>
    </w:p>
    <w:p>
      <w:pPr>
        <w:spacing w:line="360" w:lineRule="auto"/>
        <w:outlineLvl w:val="2"/>
        <w:rPr>
          <w:rFonts w:hint="eastAsia" w:ascii="仿宋" w:hAnsi="仿宋" w:eastAsia="仿宋" w:cs="仿宋"/>
          <w:b/>
          <w:sz w:val="28"/>
          <w:szCs w:val="28"/>
        </w:rPr>
      </w:pPr>
      <w:r>
        <w:rPr>
          <w:rFonts w:hint="eastAsia" w:ascii="仿宋" w:hAnsi="仿宋" w:eastAsia="仿宋" w:cs="仿宋"/>
          <w:b/>
          <w:sz w:val="28"/>
          <w:szCs w:val="28"/>
        </w:rPr>
        <w:t xml:space="preserve">（二）付款方式        </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供应商完成合同约定的服务内容并向采购人提供相关纸质报告书及电子版，</w:t>
      </w:r>
      <w:r>
        <w:rPr>
          <w:rFonts w:hint="eastAsia" w:ascii="仿宋" w:hAnsi="仿宋" w:eastAsia="仿宋" w:cs="仿宋"/>
          <w:bCs/>
          <w:sz w:val="28"/>
          <w:szCs w:val="28"/>
          <w:highlight w:val="yellow"/>
        </w:rPr>
        <w:t>采购人总体验收合格且通过佛山市财政局相关部门确认后</w:t>
      </w:r>
      <w:r>
        <w:rPr>
          <w:rFonts w:hint="eastAsia" w:ascii="仿宋" w:hAnsi="仿宋" w:eastAsia="仿宋" w:cs="仿宋"/>
          <w:bCs/>
          <w:sz w:val="28"/>
          <w:szCs w:val="28"/>
        </w:rPr>
        <w:t>，供应商开具合法全额发票采购人在收到发票之日起30个工作日内支付合同金额的100%。</w:t>
      </w:r>
    </w:p>
    <w:p>
      <w:pPr>
        <w:spacing w:line="360" w:lineRule="auto"/>
        <w:ind w:firstLine="480" w:firstLineChars="200"/>
        <w:rPr>
          <w:rFonts w:hint="eastAsia" w:ascii="宋体" w:hAnsi="宋体" w:cs="宋体"/>
          <w:bCs/>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C5C60"/>
    <w:multiLevelType w:val="singleLevel"/>
    <w:tmpl w:val="4F1C5C6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87706"/>
    <w:rsid w:val="002811C5"/>
    <w:rsid w:val="00377076"/>
    <w:rsid w:val="004F52F8"/>
    <w:rsid w:val="008674B4"/>
    <w:rsid w:val="00D75478"/>
    <w:rsid w:val="02683E23"/>
    <w:rsid w:val="0348159A"/>
    <w:rsid w:val="073065CD"/>
    <w:rsid w:val="088F5575"/>
    <w:rsid w:val="0B8D2164"/>
    <w:rsid w:val="13C16461"/>
    <w:rsid w:val="14B44CE1"/>
    <w:rsid w:val="18E92A80"/>
    <w:rsid w:val="196565AA"/>
    <w:rsid w:val="1AEB0D31"/>
    <w:rsid w:val="210F504D"/>
    <w:rsid w:val="213F74BB"/>
    <w:rsid w:val="217B548C"/>
    <w:rsid w:val="21E7044C"/>
    <w:rsid w:val="2280028D"/>
    <w:rsid w:val="25887706"/>
    <w:rsid w:val="268F2EB8"/>
    <w:rsid w:val="27084A19"/>
    <w:rsid w:val="2859307A"/>
    <w:rsid w:val="2A3E70CF"/>
    <w:rsid w:val="2D482013"/>
    <w:rsid w:val="2F546A4D"/>
    <w:rsid w:val="30B11C7D"/>
    <w:rsid w:val="32DA54BB"/>
    <w:rsid w:val="32ED1692"/>
    <w:rsid w:val="395B4E7C"/>
    <w:rsid w:val="3B451940"/>
    <w:rsid w:val="3BA8024A"/>
    <w:rsid w:val="3E0C382B"/>
    <w:rsid w:val="40C357E1"/>
    <w:rsid w:val="44D85580"/>
    <w:rsid w:val="45D65FB6"/>
    <w:rsid w:val="46DA10F7"/>
    <w:rsid w:val="479D48BA"/>
    <w:rsid w:val="49AD34D2"/>
    <w:rsid w:val="4A1946C3"/>
    <w:rsid w:val="4BDE7972"/>
    <w:rsid w:val="4C5C4D3B"/>
    <w:rsid w:val="54AF596A"/>
    <w:rsid w:val="6037369D"/>
    <w:rsid w:val="619D5782"/>
    <w:rsid w:val="65387D0A"/>
    <w:rsid w:val="68F25B3B"/>
    <w:rsid w:val="69CA10DE"/>
    <w:rsid w:val="6E056B89"/>
    <w:rsid w:val="6E6A5F68"/>
    <w:rsid w:val="6E7837FF"/>
    <w:rsid w:val="6EEE586F"/>
    <w:rsid w:val="71997D14"/>
    <w:rsid w:val="74995E9E"/>
    <w:rsid w:val="781C36BA"/>
    <w:rsid w:val="781D027F"/>
    <w:rsid w:val="785F379A"/>
    <w:rsid w:val="79F0693F"/>
    <w:rsid w:val="7A9C35C2"/>
    <w:rsid w:val="7AB160CE"/>
    <w:rsid w:val="7E447259"/>
    <w:rsid w:val="7E4C1A83"/>
    <w:rsid w:val="7FA63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Autospacing="1" w:afterAutospacing="1"/>
      <w:jc w:val="left"/>
    </w:pPr>
    <w:rPr>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1317</Words>
  <Characters>224</Characters>
  <Lines>28</Lines>
  <Paragraphs>102</Paragraphs>
  <TotalTime>107</TotalTime>
  <ScaleCrop>false</ScaleCrop>
  <LinksUpToDate>false</LinksUpToDate>
  <CharactersWithSpaces>1439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2024-04-02T06:39:00Z</dcterms:created>
  <dc:creator>keyuda</dc:creator>
  <cp:lastModifiedBy>ADMIN</cp:lastModifiedBy>
  <dcterms:modified xsi:type="dcterms:W3CDTF">2026-01-23T08:50:20Z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A3C3D8EFBEF04B64BC97F90683633F27</vt:lpwstr>
  </property>
  <property fmtid="{D5CDD505-2E9C-101B-9397-08002B2CF9AE}" pid="4" name="KSOTemplateDocerSaveRecord">
    <vt:lpwstr>eyJoZGlkIjoiODdjZWYxODA0YmYzYzlkZGI0YzNjMzgxMDRlOWUyNzgiLCJ1c2VySWQiOiIyMDQzMzM3MTUifQ==</vt:lpwstr>
  </property>
</Properties>
</file>