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8412D">
      <w:pPr>
        <w:jc w:val="center"/>
        <w:rPr>
          <w:rFonts w:ascii="宋体" w:hAnsi="宋体"/>
          <w:b/>
          <w:bCs/>
          <w:sz w:val="36"/>
          <w:szCs w:val="36"/>
        </w:rPr>
      </w:pPr>
      <w:r>
        <w:rPr>
          <w:rFonts w:hint="eastAsia" w:ascii="宋体" w:hAnsi="宋体"/>
          <w:b/>
          <w:bCs/>
          <w:sz w:val="36"/>
          <w:szCs w:val="36"/>
        </w:rPr>
        <w:t>佛山市第二人民医院</w:t>
      </w:r>
      <w:bookmarkStart w:id="0" w:name="OLE_LINK3"/>
      <w:bookmarkStart w:id="1" w:name="OLE_LINK4"/>
      <w:r>
        <w:rPr>
          <w:rFonts w:hint="eastAsia" w:ascii="宋体" w:hAnsi="宋体"/>
          <w:b/>
          <w:bCs/>
          <w:sz w:val="36"/>
          <w:szCs w:val="36"/>
        </w:rPr>
        <w:t>绿岛湖院区</w:t>
      </w:r>
    </w:p>
    <w:p w14:paraId="5208ACDF">
      <w:pPr>
        <w:jc w:val="center"/>
        <w:rPr>
          <w:rFonts w:hint="eastAsia"/>
        </w:rPr>
      </w:pPr>
      <w:bookmarkStart w:id="2" w:name="OLE_LINK1"/>
      <w:bookmarkStart w:id="3" w:name="OLE_LINK2"/>
      <w:r>
        <w:rPr>
          <w:rFonts w:hint="eastAsia" w:ascii="宋体" w:hAnsi="宋体"/>
          <w:b/>
          <w:bCs/>
          <w:sz w:val="36"/>
          <w:szCs w:val="36"/>
        </w:rPr>
        <w:t>消毒供应中心新增空压机设备采购需求书</w:t>
      </w:r>
    </w:p>
    <w:bookmarkEnd w:id="0"/>
    <w:bookmarkEnd w:id="1"/>
    <w:bookmarkEnd w:id="2"/>
    <w:bookmarkEnd w:id="3"/>
    <w:p w14:paraId="7FAC89B3">
      <w:r>
        <w:rPr>
          <w:rFonts w:hint="eastAsia" w:ascii="宋体" w:hAnsi="宋体"/>
          <w:b/>
          <w:bCs/>
          <w:sz w:val="28"/>
          <w:szCs w:val="28"/>
        </w:rPr>
        <w:t>一、项目概况：</w:t>
      </w:r>
    </w:p>
    <w:p w14:paraId="4A587DE0">
      <w:pPr>
        <w:wordWrap w:val="0"/>
        <w:topLinePunct/>
        <w:adjustRightInd w:val="0"/>
        <w:snapToGrid w:val="0"/>
        <w:spacing w:line="288" w:lineRule="auto"/>
        <w:ind w:firstLine="420" w:firstLineChars="200"/>
        <w:rPr>
          <w:rFonts w:ascii="宋体" w:hAnsi="宋体"/>
        </w:rPr>
      </w:pPr>
      <w:r>
        <w:rPr>
          <w:rFonts w:hint="eastAsia" w:ascii="宋体" w:hAnsi="宋体"/>
        </w:rPr>
        <w:t>（一）本项目属于货物类采购项目。</w:t>
      </w:r>
    </w:p>
    <w:p w14:paraId="3EBD2654">
      <w:pPr>
        <w:wordWrap w:val="0"/>
        <w:topLinePunct/>
        <w:adjustRightInd w:val="0"/>
        <w:snapToGrid w:val="0"/>
        <w:spacing w:line="288" w:lineRule="auto"/>
        <w:ind w:firstLine="420" w:firstLineChars="200"/>
        <w:rPr>
          <w:rFonts w:hint="eastAsia" w:ascii="宋体" w:hAnsi="宋体"/>
        </w:rPr>
      </w:pPr>
      <w:r>
        <w:rPr>
          <w:rFonts w:hint="eastAsia" w:ascii="宋体" w:hAnsi="宋体"/>
        </w:rPr>
        <w:t>（二）因我院绿岛湖院区业务发展新开科室的增加，消毒供应中心需要新增一套15KW</w:t>
      </w:r>
      <w:bookmarkStart w:id="4" w:name="OLE_LINK7"/>
      <w:bookmarkStart w:id="5" w:name="OLE_LINK8"/>
      <w:r>
        <w:rPr>
          <w:rFonts w:hint="eastAsia" w:ascii="宋体" w:hAnsi="宋体"/>
        </w:rPr>
        <w:t>涡旋式空压机系统设备</w:t>
      </w:r>
      <w:bookmarkEnd w:id="4"/>
      <w:bookmarkEnd w:id="5"/>
      <w:r>
        <w:rPr>
          <w:rFonts w:hint="eastAsia" w:ascii="宋体" w:hAnsi="宋体"/>
        </w:rPr>
        <w:t>，主要包括无油或微油涡旋空压机及其配套使用的冷干机、储气罐、模组吸干机、过滤器，包括排风管道系统的安装工程。</w:t>
      </w:r>
    </w:p>
    <w:p w14:paraId="42DE88D6">
      <w:pPr>
        <w:wordWrap w:val="0"/>
        <w:topLinePunct/>
        <w:adjustRightInd w:val="0"/>
        <w:snapToGrid w:val="0"/>
        <w:spacing w:line="288" w:lineRule="auto"/>
        <w:ind w:firstLine="420" w:firstLineChars="200"/>
        <w:rPr>
          <w:rFonts w:hint="eastAsia" w:ascii="宋体" w:hAnsi="宋体"/>
        </w:rPr>
      </w:pPr>
      <w:r>
        <w:rPr>
          <w:rFonts w:hint="eastAsia" w:ascii="宋体" w:hAnsi="宋体"/>
        </w:rPr>
        <w:t>该项目工程的实施包含但不限于对项目的深化设计、供货、运输、装卸、保险、安装调试、验收、成品保护及维修、维保、税金、风险、技术服务、售后服务等全部内容。同时须符合现行国家最新的标准、规范及其他适用于本专项的卫生技术规范和标准。</w:t>
      </w:r>
    </w:p>
    <w:p w14:paraId="2D7B60AE">
      <w:pPr>
        <w:ind w:firstLine="475"/>
        <w:rPr>
          <w:rFonts w:hint="eastAsia" w:ascii="宋体" w:hAnsi="宋体"/>
        </w:rPr>
      </w:pPr>
      <w:r>
        <w:rPr>
          <w:rFonts w:hint="eastAsia" w:ascii="宋体" w:hAnsi="宋体"/>
          <w:sz w:val="24"/>
          <w:szCs w:val="24"/>
        </w:rPr>
        <w:t>★</w:t>
      </w:r>
      <w:r>
        <w:rPr>
          <w:rFonts w:hint="eastAsia" w:ascii="宋体" w:hAnsi="宋体"/>
        </w:rPr>
        <w:t>（三）本项目</w:t>
      </w:r>
      <w:r>
        <w:rPr>
          <w:rFonts w:hint="eastAsia" w:ascii="宋体" w:hAnsi="宋体"/>
          <w:highlight w:val="yellow"/>
          <w:u w:val="single"/>
        </w:rPr>
        <w:t>涡旋式空压机设备（</w:t>
      </w:r>
      <w:r>
        <w:rPr>
          <w:rFonts w:hint="eastAsia" w:ascii="宋体" w:hAnsi="宋体"/>
          <w:highlight w:val="yellow"/>
          <w:u w:val="single"/>
          <w:lang w:val="en-US" w:eastAsia="zh-CN"/>
        </w:rPr>
        <w:t>一</w:t>
      </w:r>
      <w:r>
        <w:rPr>
          <w:rFonts w:hint="eastAsia"/>
          <w:bCs/>
          <w:highlight w:val="yellow"/>
          <w:u w:val="single"/>
        </w:rPr>
        <w:t>套</w:t>
      </w:r>
      <w:r>
        <w:rPr>
          <w:rFonts w:hint="eastAsia"/>
          <w:bCs/>
          <w:highlight w:val="yellow"/>
          <w:u w:val="single"/>
          <w:lang w:val="en-US" w:eastAsia="zh-CN"/>
        </w:rPr>
        <w:t>2机组</w:t>
      </w:r>
      <w:r>
        <w:rPr>
          <w:rFonts w:hint="eastAsia"/>
          <w:bCs/>
          <w:highlight w:val="yellow"/>
          <w:u w:val="single"/>
        </w:rPr>
        <w:t>，一用一备</w:t>
      </w:r>
      <w:r>
        <w:rPr>
          <w:rFonts w:hint="eastAsia" w:ascii="宋体" w:hAnsi="宋体"/>
          <w:highlight w:val="yellow"/>
          <w:u w:val="single"/>
        </w:rPr>
        <w:t>）</w:t>
      </w:r>
      <w:r>
        <w:rPr>
          <w:rFonts w:hint="eastAsia" w:ascii="宋体" w:hAnsi="宋体"/>
        </w:rPr>
        <w:t>，总预算价格为19万元，投标报价不得高于最高限价，否则视为无效报价</w:t>
      </w:r>
      <w:r>
        <w:rPr>
          <w:rFonts w:hint="eastAsia" w:ascii="宋体" w:hAnsi="宋体"/>
          <w:lang w:eastAsia="zh-CN"/>
        </w:rPr>
        <w:t>，</w:t>
      </w:r>
      <w:r>
        <w:rPr>
          <w:rFonts w:hint="eastAsia" w:ascii="宋体" w:hAnsi="宋体"/>
          <w:color w:val="FF0000"/>
          <w:lang w:val="en-US" w:eastAsia="zh-CN"/>
        </w:rPr>
        <w:t>项目包括</w:t>
      </w:r>
      <w:r>
        <w:rPr>
          <w:rFonts w:hint="eastAsia" w:ascii="宋体" w:hAnsi="宋体"/>
          <w:color w:val="FF0000"/>
          <w:lang w:eastAsia="zh-CN"/>
        </w:rPr>
        <w:t>新设备安装好之后，因原</w:t>
      </w:r>
      <w:r>
        <w:rPr>
          <w:rFonts w:hint="eastAsia" w:ascii="宋体" w:hAnsi="宋体"/>
          <w:color w:val="FF0000"/>
          <w:lang w:val="en-US" w:eastAsia="zh-CN"/>
        </w:rPr>
        <w:t>有一台</w:t>
      </w:r>
      <w:r>
        <w:rPr>
          <w:rFonts w:hint="eastAsia" w:ascii="宋体" w:hAnsi="宋体"/>
          <w:color w:val="FF0000"/>
          <w:lang w:eastAsia="zh-CN"/>
        </w:rPr>
        <w:t>设备安装位置存在检修门打不开、连接的铜管直径不够大等问题，需要重新</w:t>
      </w:r>
      <w:r>
        <w:rPr>
          <w:rFonts w:hint="eastAsia" w:ascii="宋体" w:hAnsi="宋体"/>
          <w:color w:val="FF0000"/>
          <w:lang w:val="en-US" w:eastAsia="zh-CN"/>
        </w:rPr>
        <w:t>适当移位</w:t>
      </w:r>
      <w:r>
        <w:rPr>
          <w:rFonts w:hint="eastAsia" w:ascii="宋体" w:hAnsi="宋体"/>
          <w:color w:val="FF0000"/>
          <w:lang w:eastAsia="zh-CN"/>
        </w:rPr>
        <w:t>安装（</w:t>
      </w:r>
      <w:r>
        <w:rPr>
          <w:rFonts w:hint="eastAsia" w:ascii="宋体" w:hAnsi="宋体"/>
          <w:color w:val="FF0000"/>
          <w:lang w:val="en-US" w:eastAsia="zh-CN"/>
        </w:rPr>
        <w:t>将目前的纵向安装改为横向</w:t>
      </w:r>
      <w:r>
        <w:rPr>
          <w:rFonts w:hint="eastAsia" w:ascii="宋体" w:hAnsi="宋体"/>
          <w:color w:val="FF0000"/>
          <w:lang w:eastAsia="zh-CN"/>
        </w:rPr>
        <w:t>）</w:t>
      </w:r>
      <w:r>
        <w:rPr>
          <w:rFonts w:hint="eastAsia" w:ascii="宋体" w:hAnsi="宋体"/>
        </w:rPr>
        <w:t>。</w:t>
      </w:r>
    </w:p>
    <w:p w14:paraId="587AD9E5">
      <w:pPr>
        <w:ind w:firstLine="475"/>
        <w:rPr>
          <w:rFonts w:hint="eastAsia" w:ascii="宋体" w:hAnsi="宋体" w:eastAsia="宋体"/>
          <w:lang w:eastAsia="zh-CN"/>
        </w:rPr>
      </w:pPr>
      <w:r>
        <w:rPr>
          <w:rFonts w:hint="eastAsia" w:ascii="宋体" w:hAnsi="宋体"/>
        </w:rPr>
        <w:t>（四）货物及工程量清单部分</w:t>
      </w:r>
      <w:r>
        <w:rPr>
          <w:rFonts w:hint="eastAsia" w:ascii="宋体" w:hAnsi="宋体"/>
          <w:lang w:eastAsia="zh-CN"/>
        </w:rPr>
        <w:t>。</w:t>
      </w:r>
    </w:p>
    <w:p w14:paraId="1748015D">
      <w:pPr>
        <w:rPr>
          <w:rFonts w:hint="eastAsia"/>
          <w:b/>
          <w:sz w:val="28"/>
          <w:szCs w:val="28"/>
        </w:rPr>
      </w:pPr>
      <w:r>
        <w:rPr>
          <w:rFonts w:hint="eastAsia"/>
          <w:b/>
          <w:sz w:val="28"/>
          <w:szCs w:val="28"/>
        </w:rPr>
        <w:t>二、投标人资格要求:</w:t>
      </w:r>
    </w:p>
    <w:p w14:paraId="56C542A4">
      <w:pPr>
        <w:spacing w:line="360" w:lineRule="auto"/>
        <w:ind w:firstLine="420" w:firstLineChars="200"/>
        <w:rPr>
          <w:rFonts w:ascii="宋体" w:hAnsi="宋体"/>
          <w:bCs/>
          <w:shd w:val="clear" w:color="auto" w:fill="FFFFFF"/>
        </w:rPr>
      </w:pPr>
      <w:r>
        <w:rPr>
          <w:rFonts w:hint="eastAsia" w:ascii="宋体" w:hAnsi="宋体"/>
          <w:bCs/>
          <w:shd w:val="clear" w:color="auto" w:fill="FFFFFF"/>
        </w:rPr>
        <w:t>1.投标人必须符合《中华人民共和国政府采购法》第二十二条规定的条件；</w:t>
      </w:r>
    </w:p>
    <w:p w14:paraId="740380B2">
      <w:pPr>
        <w:snapToGrid w:val="0"/>
        <w:spacing w:line="360" w:lineRule="auto"/>
        <w:ind w:firstLine="420" w:firstLineChars="200"/>
        <w:rPr>
          <w:rFonts w:hint="eastAsia" w:ascii="宋体" w:hAnsi="宋体"/>
          <w:bCs/>
        </w:rPr>
      </w:pPr>
      <w:r>
        <w:rPr>
          <w:rFonts w:hint="eastAsia" w:ascii="宋体" w:hAnsi="宋体"/>
          <w:bCs/>
          <w:shd w:val="clear" w:color="auto" w:fill="FFFFFF"/>
        </w:rPr>
        <w:t>2.供</w:t>
      </w:r>
      <w:r>
        <w:rPr>
          <w:rFonts w:hint="eastAsia" w:ascii="宋体" w:hAnsi="宋体"/>
          <w:bCs/>
        </w:rPr>
        <w:t>应商是具有独立承担民事责任能力的，在中华人民共和国境内注册的法人，且具备从事本项目经营范围和能力；</w:t>
      </w:r>
    </w:p>
    <w:p w14:paraId="77A56FB9">
      <w:pPr>
        <w:snapToGrid w:val="0"/>
        <w:spacing w:line="360" w:lineRule="auto"/>
        <w:ind w:firstLine="420" w:firstLineChars="200"/>
        <w:rPr>
          <w:rFonts w:hint="eastAsia" w:ascii="宋体" w:hAnsi="宋体"/>
          <w:bCs/>
        </w:rPr>
      </w:pPr>
      <w:r>
        <w:rPr>
          <w:rFonts w:hint="eastAsia" w:ascii="宋体" w:hAnsi="宋体"/>
          <w:bCs/>
        </w:rPr>
        <w:t>3.投标人（含其授权的下属单位、分支机构）近三年内在经营活动中没有重大违法行为。</w:t>
      </w:r>
      <w:r>
        <w:rPr>
          <w:rFonts w:ascii="宋体" w:hAnsi="宋体"/>
        </w:rPr>
        <w:t>重大违法记录，是指供应商因违法经营受到刑事处罚或者责令停产停业、吊销许可证或者执照、较大数额</w:t>
      </w:r>
      <w:r>
        <w:t xml:space="preserve"> </w:t>
      </w:r>
      <w:r>
        <w:rPr>
          <w:rFonts w:ascii="宋体" w:hAnsi="宋体"/>
        </w:rPr>
        <w:t>罚款等行政处罚；（较大数额罚款按照发出行政处罚决定书部门所在省级政府，或实行垂直领导的国务院有关行政主管部门制定的较大数额罚款标准，或罚款决定之前需要举行听证会的金额标准来认定）</w:t>
      </w:r>
    </w:p>
    <w:p w14:paraId="1CBE2921">
      <w:pPr>
        <w:snapToGrid w:val="0"/>
        <w:spacing w:line="360" w:lineRule="auto"/>
        <w:ind w:firstLine="420" w:firstLineChars="200"/>
        <w:rPr>
          <w:rFonts w:hint="eastAsia" w:ascii="宋体" w:hAnsi="宋体"/>
          <w:bCs/>
        </w:rPr>
      </w:pPr>
      <w:r>
        <w:rPr>
          <w:rFonts w:hint="eastAsia" w:ascii="宋体" w:hAnsi="宋体"/>
          <w:bCs/>
        </w:rPr>
        <w:t>4.本项目不接受联合体参加。</w:t>
      </w:r>
    </w:p>
    <w:p w14:paraId="08340FB3">
      <w:pPr>
        <w:snapToGrid w:val="0"/>
        <w:spacing w:line="360" w:lineRule="auto"/>
        <w:rPr>
          <w:rFonts w:ascii="宋体" w:hAnsi="宋体"/>
          <w:b/>
          <w:bCs/>
          <w:sz w:val="28"/>
          <w:szCs w:val="28"/>
        </w:rPr>
      </w:pPr>
      <w:r>
        <w:rPr>
          <w:rFonts w:hint="eastAsia" w:ascii="宋体" w:hAnsi="宋体"/>
          <w:b/>
          <w:bCs/>
          <w:sz w:val="28"/>
          <w:szCs w:val="28"/>
        </w:rPr>
        <w:t>三、项目采购主要标的物技术参数和数量清单：</w:t>
      </w:r>
    </w:p>
    <w:tbl>
      <w:tblPr>
        <w:tblStyle w:val="2"/>
        <w:tblW w:w="8305" w:type="dxa"/>
        <w:tblInd w:w="0" w:type="dxa"/>
        <w:tblLayout w:type="fixed"/>
        <w:tblCellMar>
          <w:top w:w="0" w:type="dxa"/>
          <w:left w:w="108" w:type="dxa"/>
          <w:bottom w:w="0" w:type="dxa"/>
          <w:right w:w="108" w:type="dxa"/>
        </w:tblCellMar>
      </w:tblPr>
      <w:tblGrid>
        <w:gridCol w:w="761"/>
        <w:gridCol w:w="1783"/>
        <w:gridCol w:w="3633"/>
        <w:gridCol w:w="960"/>
        <w:gridCol w:w="1168"/>
      </w:tblGrid>
      <w:tr w14:paraId="35C00CD2">
        <w:tblPrEx>
          <w:tblCellMar>
            <w:top w:w="0" w:type="dxa"/>
            <w:left w:w="108" w:type="dxa"/>
            <w:bottom w:w="0" w:type="dxa"/>
            <w:right w:w="108" w:type="dxa"/>
          </w:tblCellMar>
        </w:tblPrEx>
        <w:tc>
          <w:tcPr>
            <w:tcW w:w="761" w:type="dxa"/>
            <w:tcBorders>
              <w:top w:val="single" w:color="000000" w:sz="4" w:space="0"/>
              <w:left w:val="single" w:color="000000" w:sz="4" w:space="0"/>
              <w:bottom w:val="single" w:color="000000" w:sz="4" w:space="0"/>
              <w:right w:val="single" w:color="000000" w:sz="4" w:space="0"/>
            </w:tcBorders>
            <w:shd w:val="clear" w:color="auto" w:fill="F2F2F2"/>
          </w:tcPr>
          <w:p w14:paraId="7CB880BA">
            <w:pPr>
              <w:jc w:val="center"/>
            </w:pPr>
            <w:r>
              <w:rPr>
                <w:rFonts w:ascii="宋体" w:hAnsi="宋体"/>
                <w:sz w:val="24"/>
                <w:szCs w:val="24"/>
              </w:rPr>
              <w:t>序号</w:t>
            </w:r>
          </w:p>
        </w:tc>
        <w:tc>
          <w:tcPr>
            <w:tcW w:w="1783" w:type="dxa"/>
            <w:tcBorders>
              <w:top w:val="single" w:color="000000" w:sz="4" w:space="0"/>
              <w:left w:val="nil"/>
              <w:bottom w:val="single" w:color="000000" w:sz="4" w:space="0"/>
              <w:right w:val="single" w:color="000000" w:sz="4" w:space="0"/>
            </w:tcBorders>
            <w:shd w:val="clear" w:color="auto" w:fill="F2F2F2"/>
          </w:tcPr>
          <w:p w14:paraId="69A7CA09">
            <w:pPr>
              <w:jc w:val="center"/>
            </w:pPr>
            <w:r>
              <w:rPr>
                <w:rFonts w:hint="eastAsia" w:ascii="宋体" w:hAnsi="宋体"/>
                <w:sz w:val="24"/>
                <w:szCs w:val="24"/>
              </w:rPr>
              <w:t>标的</w:t>
            </w:r>
            <w:r>
              <w:rPr>
                <w:rFonts w:ascii="宋体" w:hAnsi="宋体"/>
                <w:sz w:val="24"/>
                <w:szCs w:val="24"/>
              </w:rPr>
              <w:t>设备名称</w:t>
            </w:r>
          </w:p>
        </w:tc>
        <w:tc>
          <w:tcPr>
            <w:tcW w:w="3633" w:type="dxa"/>
            <w:tcBorders>
              <w:top w:val="single" w:color="000000" w:sz="4" w:space="0"/>
              <w:left w:val="nil"/>
              <w:bottom w:val="single" w:color="000000" w:sz="4" w:space="0"/>
              <w:right w:val="single" w:color="000000" w:sz="4" w:space="0"/>
            </w:tcBorders>
            <w:shd w:val="clear" w:color="auto" w:fill="F2F2F2"/>
          </w:tcPr>
          <w:p w14:paraId="09609D70">
            <w:pPr>
              <w:jc w:val="center"/>
            </w:pPr>
            <w:r>
              <w:rPr>
                <w:rFonts w:hint="eastAsia" w:ascii="宋体" w:hAnsi="宋体"/>
              </w:rPr>
              <w:t>技术规格要求</w:t>
            </w:r>
          </w:p>
        </w:tc>
        <w:tc>
          <w:tcPr>
            <w:tcW w:w="960" w:type="dxa"/>
            <w:tcBorders>
              <w:top w:val="single" w:color="000000" w:sz="4" w:space="0"/>
              <w:left w:val="nil"/>
              <w:bottom w:val="single" w:color="000000" w:sz="4" w:space="0"/>
              <w:right w:val="single" w:color="000000" w:sz="4" w:space="0"/>
            </w:tcBorders>
            <w:shd w:val="clear" w:color="auto" w:fill="F2F2F2"/>
          </w:tcPr>
          <w:p w14:paraId="1ABC66D1">
            <w:pPr>
              <w:jc w:val="center"/>
            </w:pPr>
            <w:r>
              <w:rPr>
                <w:rFonts w:ascii="宋体" w:hAnsi="宋体"/>
                <w:sz w:val="24"/>
                <w:szCs w:val="24"/>
              </w:rPr>
              <w:t>数量</w:t>
            </w:r>
          </w:p>
        </w:tc>
        <w:tc>
          <w:tcPr>
            <w:tcW w:w="1168" w:type="dxa"/>
            <w:tcBorders>
              <w:top w:val="single" w:color="000000" w:sz="4" w:space="0"/>
              <w:left w:val="nil"/>
              <w:bottom w:val="single" w:color="000000" w:sz="4" w:space="0"/>
              <w:right w:val="single" w:color="000000" w:sz="4" w:space="0"/>
            </w:tcBorders>
            <w:shd w:val="clear" w:color="auto" w:fill="F2F2F2"/>
          </w:tcPr>
          <w:p w14:paraId="3A072E90">
            <w:pPr>
              <w:jc w:val="center"/>
            </w:pPr>
            <w:r>
              <w:rPr>
                <w:rFonts w:ascii="宋体" w:hAnsi="宋体"/>
                <w:sz w:val="24"/>
                <w:szCs w:val="24"/>
              </w:rPr>
              <w:t>单位</w:t>
            </w:r>
          </w:p>
        </w:tc>
      </w:tr>
      <w:tr w14:paraId="55BD4917">
        <w:tblPrEx>
          <w:tblCellMar>
            <w:top w:w="0" w:type="dxa"/>
            <w:left w:w="108" w:type="dxa"/>
            <w:bottom w:w="0" w:type="dxa"/>
            <w:right w:w="108" w:type="dxa"/>
          </w:tblCellMar>
        </w:tblPrEx>
        <w:tc>
          <w:tcPr>
            <w:tcW w:w="761" w:type="dxa"/>
            <w:tcBorders>
              <w:top w:val="nil"/>
              <w:left w:val="single" w:color="000000" w:sz="4" w:space="0"/>
              <w:bottom w:val="single" w:color="000000" w:sz="4" w:space="0"/>
              <w:right w:val="single" w:color="000000" w:sz="4" w:space="0"/>
            </w:tcBorders>
          </w:tcPr>
          <w:p w14:paraId="10B91940">
            <w:pPr>
              <w:jc w:val="center"/>
            </w:pPr>
            <w:r>
              <w:rPr>
                <w:sz w:val="24"/>
                <w:szCs w:val="24"/>
              </w:rPr>
              <w:t>1</w:t>
            </w:r>
          </w:p>
        </w:tc>
        <w:tc>
          <w:tcPr>
            <w:tcW w:w="1783" w:type="dxa"/>
            <w:tcBorders>
              <w:top w:val="nil"/>
              <w:left w:val="nil"/>
              <w:bottom w:val="single" w:color="000000" w:sz="4" w:space="0"/>
              <w:right w:val="single" w:color="000000" w:sz="4" w:space="0"/>
            </w:tcBorders>
          </w:tcPr>
          <w:p w14:paraId="0DF28D41">
            <w:pPr>
              <w:jc w:val="center"/>
            </w:pPr>
          </w:p>
          <w:p w14:paraId="1FC5C2B8">
            <w:pPr>
              <w:jc w:val="center"/>
              <w:rPr>
                <w:rFonts w:hint="eastAsia"/>
              </w:rPr>
            </w:pPr>
            <w:r>
              <w:t>空压机设备</w:t>
            </w:r>
          </w:p>
          <w:p w14:paraId="0198FCE1">
            <w:pPr>
              <w:jc w:val="center"/>
            </w:pPr>
            <w:r>
              <w:rPr>
                <w:rFonts w:hint="eastAsia"/>
              </w:rPr>
              <w:t>（</w:t>
            </w:r>
            <w:r>
              <w:rPr>
                <w:rFonts w:hint="eastAsia" w:ascii="宋体" w:hAnsi="宋体"/>
              </w:rPr>
              <w:t>无油或微油涡旋空压机</w:t>
            </w:r>
            <w:r>
              <w:rPr>
                <w:rFonts w:hint="eastAsia"/>
              </w:rPr>
              <w:t>）</w:t>
            </w:r>
          </w:p>
        </w:tc>
        <w:tc>
          <w:tcPr>
            <w:tcW w:w="3633" w:type="dxa"/>
            <w:tcBorders>
              <w:top w:val="nil"/>
              <w:left w:val="nil"/>
              <w:bottom w:val="single" w:color="000000" w:sz="4" w:space="0"/>
              <w:right w:val="single" w:color="000000" w:sz="4" w:space="0"/>
            </w:tcBorders>
          </w:tcPr>
          <w:p w14:paraId="1D95B407">
            <w:pPr>
              <w:rPr>
                <w:rFonts w:hint="eastAsia" w:ascii="宋体" w:hAnsi="宋体"/>
              </w:rPr>
            </w:pPr>
            <w:r>
              <w:rPr>
                <w:rFonts w:hint="eastAsia" w:ascii="宋体" w:hAnsi="宋体"/>
              </w:rPr>
              <w:t>额定电源：</w:t>
            </w:r>
            <w:r>
              <w:rPr>
                <w:rFonts w:hint="eastAsia"/>
              </w:rPr>
              <w:t>38</w:t>
            </w:r>
            <w:r>
              <w:t>0V</w:t>
            </w:r>
            <w:r>
              <w:rPr>
                <w:rFonts w:hint="eastAsia"/>
              </w:rPr>
              <w:t xml:space="preserve"> </w:t>
            </w:r>
            <w:r>
              <w:t>/</w:t>
            </w:r>
            <w:r>
              <w:rPr>
                <w:rFonts w:hint="eastAsia"/>
              </w:rPr>
              <w:t xml:space="preserve"> </w:t>
            </w:r>
            <w:r>
              <w:t>50Hz</w:t>
            </w:r>
            <w:r>
              <w:rPr>
                <w:rFonts w:hint="eastAsia" w:ascii="宋体" w:hAnsi="宋体"/>
              </w:rPr>
              <w:t>；</w:t>
            </w:r>
          </w:p>
          <w:p w14:paraId="45CD5261">
            <w:pPr>
              <w:rPr>
                <w:rFonts w:ascii="宋体" w:hAnsi="宋体" w:cs="宋体"/>
                <w:kern w:val="0"/>
                <w:sz w:val="24"/>
                <w:szCs w:val="24"/>
              </w:rPr>
            </w:pPr>
            <w:r>
              <w:rPr>
                <w:rFonts w:hint="eastAsia" w:ascii="宋体" w:hAnsi="宋体"/>
              </w:rPr>
              <w:t>额定功率</w:t>
            </w:r>
            <w:bookmarkStart w:id="6" w:name="OLE_LINK15"/>
            <w:r>
              <w:rPr>
                <w:rFonts w:hint="eastAsia" w:ascii="宋体" w:hAnsi="宋体"/>
              </w:rPr>
              <w:t>15KW±5%</w:t>
            </w:r>
            <w:bookmarkEnd w:id="6"/>
            <w:r>
              <w:rPr>
                <w:rFonts w:hint="eastAsia" w:ascii="宋体" w:hAnsi="宋体"/>
              </w:rPr>
              <w:t>，</w:t>
            </w:r>
            <w:r>
              <w:rPr>
                <w:rFonts w:hint="eastAsia" w:ascii="宋体" w:hAnsi="宋体" w:cs="宋体"/>
                <w:kern w:val="0"/>
              </w:rPr>
              <w:t xml:space="preserve"> </w:t>
            </w:r>
          </w:p>
          <w:p w14:paraId="728DB801">
            <w:pPr>
              <w:widowControl/>
              <w:jc w:val="left"/>
              <w:rPr>
                <w:rFonts w:ascii="宋体" w:hAnsi="宋体" w:cs="宋体"/>
                <w:kern w:val="0"/>
                <w:sz w:val="24"/>
                <w:szCs w:val="24"/>
              </w:rPr>
            </w:pPr>
            <w:r>
              <w:rPr>
                <w:rFonts w:hint="eastAsia" w:ascii="宋体" w:hAnsi="宋体" w:cs="宋体"/>
                <w:kern w:val="0"/>
              </w:rPr>
              <w:t>排 气 量：</w:t>
            </w:r>
            <w:bookmarkStart w:id="7" w:name="OLE_LINK16"/>
            <w:r>
              <w:rPr>
                <w:rFonts w:hint="eastAsia" w:ascii="宋体" w:hAnsi="宋体" w:cs="宋体"/>
                <w:kern w:val="0"/>
              </w:rPr>
              <w:t xml:space="preserve">1.6-1.8m³/min </w:t>
            </w:r>
            <w:bookmarkEnd w:id="7"/>
          </w:p>
          <w:p w14:paraId="6F4006BC">
            <w:pPr>
              <w:rPr>
                <w:rFonts w:hint="eastAsia"/>
                <w:b/>
                <w:bCs/>
              </w:rPr>
            </w:pPr>
            <w:r>
              <w:rPr>
                <w:rFonts w:hint="eastAsia" w:ascii="宋体" w:hAnsi="宋体" w:cs="宋体"/>
                <w:kern w:val="0"/>
              </w:rPr>
              <w:t>压力设计：0.8 Mpa</w:t>
            </w:r>
            <w:r>
              <w:rPr>
                <w:rFonts w:hint="eastAsia"/>
                <w:b/>
                <w:bCs/>
              </w:rPr>
              <w:t xml:space="preserve"> </w:t>
            </w:r>
          </w:p>
          <w:p w14:paraId="69A764A4">
            <w:r>
              <w:rPr>
                <w:rFonts w:hint="eastAsia"/>
                <w:bCs/>
              </w:rPr>
              <w:t>冷却方式：风冷</w:t>
            </w:r>
          </w:p>
        </w:tc>
        <w:tc>
          <w:tcPr>
            <w:tcW w:w="960" w:type="dxa"/>
            <w:tcBorders>
              <w:top w:val="nil"/>
              <w:left w:val="nil"/>
              <w:bottom w:val="single" w:color="000000" w:sz="4" w:space="0"/>
              <w:right w:val="single" w:color="000000" w:sz="4" w:space="0"/>
            </w:tcBorders>
          </w:tcPr>
          <w:p w14:paraId="5DDD61DB">
            <w:pPr>
              <w:jc w:val="center"/>
              <w:rPr>
                <w:rFonts w:hint="eastAsia" w:cs="Calibri"/>
              </w:rPr>
            </w:pPr>
          </w:p>
          <w:p w14:paraId="572C0675">
            <w:pPr>
              <w:jc w:val="center"/>
            </w:pPr>
            <w:r>
              <w:rPr>
                <w:rFonts w:hint="eastAsia" w:cs="Calibri"/>
              </w:rPr>
              <w:t>1</w:t>
            </w:r>
          </w:p>
        </w:tc>
        <w:tc>
          <w:tcPr>
            <w:tcW w:w="1168" w:type="dxa"/>
            <w:tcBorders>
              <w:top w:val="nil"/>
              <w:left w:val="nil"/>
              <w:bottom w:val="single" w:color="000000" w:sz="4" w:space="0"/>
              <w:right w:val="single" w:color="000000" w:sz="4" w:space="0"/>
            </w:tcBorders>
          </w:tcPr>
          <w:p w14:paraId="0ACA5C2F">
            <w:pPr>
              <w:jc w:val="center"/>
              <w:rPr>
                <w:rFonts w:hint="eastAsia"/>
              </w:rPr>
            </w:pPr>
          </w:p>
          <w:p w14:paraId="0C1151A1">
            <w:pPr>
              <w:jc w:val="center"/>
            </w:pPr>
            <w:r>
              <w:rPr>
                <w:rFonts w:hint="eastAsia"/>
              </w:rPr>
              <w:t>套</w:t>
            </w:r>
          </w:p>
        </w:tc>
      </w:tr>
      <w:tr w14:paraId="73D2802E">
        <w:tblPrEx>
          <w:tblCellMar>
            <w:top w:w="0" w:type="dxa"/>
            <w:left w:w="108" w:type="dxa"/>
            <w:bottom w:w="0" w:type="dxa"/>
            <w:right w:w="108" w:type="dxa"/>
          </w:tblCellMar>
        </w:tblPrEx>
        <w:tc>
          <w:tcPr>
            <w:tcW w:w="761" w:type="dxa"/>
            <w:tcBorders>
              <w:top w:val="nil"/>
              <w:left w:val="single" w:color="000000" w:sz="4" w:space="0"/>
              <w:bottom w:val="single" w:color="000000" w:sz="4" w:space="0"/>
              <w:right w:val="single" w:color="000000" w:sz="4" w:space="0"/>
            </w:tcBorders>
          </w:tcPr>
          <w:p w14:paraId="06344183">
            <w:pPr>
              <w:jc w:val="center"/>
              <w:rPr>
                <w:sz w:val="24"/>
                <w:szCs w:val="24"/>
              </w:rPr>
            </w:pPr>
            <w:r>
              <w:rPr>
                <w:sz w:val="24"/>
                <w:szCs w:val="24"/>
              </w:rPr>
              <w:t>2</w:t>
            </w:r>
          </w:p>
        </w:tc>
        <w:tc>
          <w:tcPr>
            <w:tcW w:w="1783" w:type="dxa"/>
            <w:tcBorders>
              <w:top w:val="nil"/>
              <w:left w:val="nil"/>
              <w:bottom w:val="single" w:color="000000" w:sz="4" w:space="0"/>
              <w:right w:val="single" w:color="000000" w:sz="4" w:space="0"/>
            </w:tcBorders>
          </w:tcPr>
          <w:p w14:paraId="1AC33D68">
            <w:pPr>
              <w:jc w:val="center"/>
            </w:pPr>
            <w:r>
              <w:rPr>
                <w:rFonts w:hint="eastAsia"/>
              </w:rPr>
              <w:t>冷冻式干燥机</w:t>
            </w:r>
          </w:p>
        </w:tc>
        <w:tc>
          <w:tcPr>
            <w:tcW w:w="3633" w:type="dxa"/>
            <w:tcBorders>
              <w:top w:val="nil"/>
              <w:left w:val="nil"/>
              <w:bottom w:val="single" w:color="000000" w:sz="4" w:space="0"/>
              <w:right w:val="single" w:color="000000" w:sz="4" w:space="0"/>
            </w:tcBorders>
          </w:tcPr>
          <w:p w14:paraId="7B7B1786">
            <w:pPr>
              <w:widowControl/>
              <w:jc w:val="left"/>
              <w:rPr>
                <w:rFonts w:ascii="宋体" w:hAnsi="宋体" w:cs="宋体"/>
                <w:kern w:val="0"/>
                <w:sz w:val="24"/>
                <w:szCs w:val="24"/>
              </w:rPr>
            </w:pPr>
            <w:r>
              <w:rPr>
                <w:rFonts w:hint="eastAsia" w:ascii="宋体" w:hAnsi="宋体" w:cs="宋体"/>
                <w:kern w:val="0"/>
              </w:rPr>
              <w:t>处理气量：2.8</w:t>
            </w:r>
            <w:bookmarkStart w:id="8" w:name="OLE_LINK6"/>
            <w:bookmarkStart w:id="9" w:name="OLE_LINK5"/>
            <w:r>
              <w:rPr>
                <w:rFonts w:hint="eastAsia" w:ascii="宋体" w:hAnsi="宋体" w:cs="宋体"/>
                <w:kern w:val="0"/>
              </w:rPr>
              <w:t xml:space="preserve"> m³</w:t>
            </w:r>
            <w:bookmarkEnd w:id="8"/>
            <w:bookmarkEnd w:id="9"/>
            <w:r>
              <w:rPr>
                <w:rFonts w:hint="eastAsia" w:ascii="宋体" w:hAnsi="宋体" w:cs="宋体"/>
                <w:kern w:val="0"/>
              </w:rPr>
              <w:t xml:space="preserve">-3.8 m³/min </w:t>
            </w:r>
          </w:p>
          <w:p w14:paraId="1919F374">
            <w:pPr>
              <w:widowControl/>
              <w:jc w:val="left"/>
              <w:rPr>
                <w:rFonts w:ascii="宋体" w:hAnsi="宋体" w:cs="宋体"/>
                <w:kern w:val="0"/>
                <w:sz w:val="24"/>
                <w:szCs w:val="24"/>
              </w:rPr>
            </w:pPr>
            <w:r>
              <w:rPr>
                <w:rFonts w:hint="eastAsia" w:ascii="宋体" w:hAnsi="宋体" w:cs="宋体"/>
                <w:kern w:val="0"/>
              </w:rPr>
              <w:t xml:space="preserve">压力设计：1.0Mpa </w:t>
            </w:r>
          </w:p>
        </w:tc>
        <w:tc>
          <w:tcPr>
            <w:tcW w:w="960" w:type="dxa"/>
            <w:tcBorders>
              <w:top w:val="nil"/>
              <w:left w:val="nil"/>
              <w:bottom w:val="single" w:color="000000" w:sz="4" w:space="0"/>
              <w:right w:val="single" w:color="000000" w:sz="4" w:space="0"/>
            </w:tcBorders>
          </w:tcPr>
          <w:p w14:paraId="7D820812">
            <w:pPr>
              <w:jc w:val="center"/>
            </w:pPr>
            <w:r>
              <w:rPr>
                <w:rFonts w:hint="eastAsia"/>
              </w:rPr>
              <w:t>1</w:t>
            </w:r>
          </w:p>
        </w:tc>
        <w:tc>
          <w:tcPr>
            <w:tcW w:w="1168" w:type="dxa"/>
            <w:tcBorders>
              <w:top w:val="nil"/>
              <w:left w:val="nil"/>
              <w:bottom w:val="single" w:color="000000" w:sz="4" w:space="0"/>
              <w:right w:val="single" w:color="000000" w:sz="4" w:space="0"/>
            </w:tcBorders>
          </w:tcPr>
          <w:p w14:paraId="6B2032A6">
            <w:pPr>
              <w:jc w:val="center"/>
            </w:pPr>
            <w:r>
              <w:t>套</w:t>
            </w:r>
          </w:p>
        </w:tc>
      </w:tr>
      <w:tr w14:paraId="2802FC1B">
        <w:tblPrEx>
          <w:tblCellMar>
            <w:top w:w="0" w:type="dxa"/>
            <w:left w:w="108" w:type="dxa"/>
            <w:bottom w:w="0" w:type="dxa"/>
            <w:right w:w="108" w:type="dxa"/>
          </w:tblCellMar>
        </w:tblPrEx>
        <w:tc>
          <w:tcPr>
            <w:tcW w:w="761" w:type="dxa"/>
            <w:tcBorders>
              <w:top w:val="nil"/>
              <w:left w:val="single" w:color="000000" w:sz="4" w:space="0"/>
              <w:bottom w:val="single" w:color="000000" w:sz="4" w:space="0"/>
              <w:right w:val="single" w:color="000000" w:sz="4" w:space="0"/>
            </w:tcBorders>
          </w:tcPr>
          <w:p w14:paraId="2EC0A4EC">
            <w:pPr>
              <w:jc w:val="center"/>
              <w:rPr>
                <w:sz w:val="24"/>
                <w:szCs w:val="24"/>
              </w:rPr>
            </w:pPr>
          </w:p>
          <w:p w14:paraId="3F970749">
            <w:pPr>
              <w:jc w:val="center"/>
              <w:rPr>
                <w:sz w:val="24"/>
                <w:szCs w:val="24"/>
              </w:rPr>
            </w:pPr>
            <w:r>
              <w:rPr>
                <w:rFonts w:hint="eastAsia" w:cs="Calibri"/>
                <w:sz w:val="24"/>
                <w:szCs w:val="24"/>
              </w:rPr>
              <w:t>3</w:t>
            </w:r>
          </w:p>
        </w:tc>
        <w:tc>
          <w:tcPr>
            <w:tcW w:w="1783" w:type="dxa"/>
            <w:tcBorders>
              <w:top w:val="nil"/>
              <w:left w:val="nil"/>
              <w:bottom w:val="single" w:color="000000" w:sz="4" w:space="0"/>
              <w:right w:val="single" w:color="000000" w:sz="4" w:space="0"/>
            </w:tcBorders>
          </w:tcPr>
          <w:p w14:paraId="01B28FFC">
            <w:pPr>
              <w:jc w:val="center"/>
            </w:pPr>
            <w:r>
              <w:rPr>
                <w:rFonts w:hint="eastAsia"/>
              </w:rPr>
              <w:t>模块式干燥机</w:t>
            </w:r>
          </w:p>
          <w:p w14:paraId="23076576">
            <w:pPr>
              <w:jc w:val="center"/>
            </w:pPr>
          </w:p>
        </w:tc>
        <w:tc>
          <w:tcPr>
            <w:tcW w:w="3633" w:type="dxa"/>
            <w:tcBorders>
              <w:top w:val="nil"/>
              <w:left w:val="nil"/>
              <w:bottom w:val="single" w:color="000000" w:sz="4" w:space="0"/>
              <w:right w:val="single" w:color="000000" w:sz="4" w:space="0"/>
            </w:tcBorders>
          </w:tcPr>
          <w:p w14:paraId="3AF4D45E">
            <w:pPr>
              <w:widowControl/>
              <w:jc w:val="left"/>
              <w:rPr>
                <w:rFonts w:ascii="宋体" w:hAnsi="宋体" w:cs="宋体"/>
                <w:kern w:val="0"/>
                <w:sz w:val="24"/>
                <w:szCs w:val="24"/>
              </w:rPr>
            </w:pPr>
            <w:r>
              <w:rPr>
                <w:rFonts w:hint="eastAsia" w:ascii="宋体" w:hAnsi="宋体" w:cs="宋体"/>
                <w:kern w:val="0"/>
              </w:rPr>
              <w:t xml:space="preserve">处理气量：2.5-4.5 m³/min </w:t>
            </w:r>
          </w:p>
          <w:p w14:paraId="2B66F314">
            <w:pPr>
              <w:jc w:val="left"/>
            </w:pPr>
            <w:r>
              <w:rPr>
                <w:rFonts w:hint="eastAsia" w:ascii="宋体" w:hAnsi="宋体" w:cs="宋体"/>
                <w:kern w:val="0"/>
              </w:rPr>
              <w:t>压力设计：≤1.6Mpa</w:t>
            </w:r>
          </w:p>
        </w:tc>
        <w:tc>
          <w:tcPr>
            <w:tcW w:w="960" w:type="dxa"/>
            <w:tcBorders>
              <w:top w:val="nil"/>
              <w:left w:val="nil"/>
              <w:bottom w:val="single" w:color="000000" w:sz="4" w:space="0"/>
              <w:right w:val="single" w:color="000000" w:sz="4" w:space="0"/>
            </w:tcBorders>
            <w:shd w:val="clear" w:color="auto" w:fill="auto"/>
            <w:vAlign w:val="top"/>
          </w:tcPr>
          <w:p w14:paraId="3B806836">
            <w:pPr>
              <w:jc w:val="center"/>
              <w:rPr>
                <w:rFonts w:ascii="Calibri" w:hAnsi="Calibri" w:eastAsia="宋体" w:cs="Times New Roman"/>
                <w:kern w:val="2"/>
                <w:sz w:val="21"/>
                <w:szCs w:val="21"/>
                <w:lang w:val="en-US" w:eastAsia="zh-CN" w:bidi="ar-SA"/>
              </w:rPr>
            </w:pPr>
            <w:r>
              <w:rPr>
                <w:rFonts w:hint="eastAsia"/>
              </w:rPr>
              <w:t>1</w:t>
            </w:r>
          </w:p>
        </w:tc>
        <w:tc>
          <w:tcPr>
            <w:tcW w:w="1168" w:type="dxa"/>
            <w:tcBorders>
              <w:top w:val="nil"/>
              <w:left w:val="nil"/>
              <w:bottom w:val="single" w:color="000000" w:sz="4" w:space="0"/>
              <w:right w:val="single" w:color="000000" w:sz="4" w:space="0"/>
            </w:tcBorders>
            <w:shd w:val="clear" w:color="auto" w:fill="auto"/>
            <w:vAlign w:val="top"/>
          </w:tcPr>
          <w:p w14:paraId="30AC9C62">
            <w:pPr>
              <w:jc w:val="center"/>
              <w:rPr>
                <w:rFonts w:ascii="Calibri" w:hAnsi="Calibri" w:eastAsia="宋体" w:cs="Times New Roman"/>
                <w:kern w:val="2"/>
                <w:sz w:val="21"/>
                <w:szCs w:val="21"/>
                <w:lang w:val="en-US" w:eastAsia="zh-CN" w:bidi="ar-SA"/>
              </w:rPr>
            </w:pPr>
            <w:r>
              <w:t>套</w:t>
            </w:r>
          </w:p>
        </w:tc>
      </w:tr>
      <w:tr w14:paraId="770143E6">
        <w:tblPrEx>
          <w:tblCellMar>
            <w:top w:w="0" w:type="dxa"/>
            <w:left w:w="108" w:type="dxa"/>
            <w:bottom w:w="0" w:type="dxa"/>
            <w:right w:w="108" w:type="dxa"/>
          </w:tblCellMar>
        </w:tblPrEx>
        <w:tc>
          <w:tcPr>
            <w:tcW w:w="761" w:type="dxa"/>
            <w:tcBorders>
              <w:top w:val="nil"/>
              <w:left w:val="single" w:color="000000" w:sz="4" w:space="0"/>
              <w:bottom w:val="single" w:color="000000" w:sz="4" w:space="0"/>
              <w:right w:val="single" w:color="000000" w:sz="4" w:space="0"/>
            </w:tcBorders>
          </w:tcPr>
          <w:p w14:paraId="1B450EDB">
            <w:pPr>
              <w:jc w:val="center"/>
              <w:rPr>
                <w:sz w:val="24"/>
                <w:szCs w:val="24"/>
              </w:rPr>
            </w:pPr>
          </w:p>
          <w:p w14:paraId="73CD8616">
            <w:pPr>
              <w:jc w:val="center"/>
              <w:rPr>
                <w:sz w:val="24"/>
                <w:szCs w:val="24"/>
              </w:rPr>
            </w:pPr>
            <w:r>
              <w:rPr>
                <w:rFonts w:hint="eastAsia" w:cs="Calibri"/>
                <w:sz w:val="24"/>
                <w:szCs w:val="24"/>
              </w:rPr>
              <w:t>4</w:t>
            </w:r>
          </w:p>
        </w:tc>
        <w:tc>
          <w:tcPr>
            <w:tcW w:w="1783" w:type="dxa"/>
            <w:tcBorders>
              <w:top w:val="nil"/>
              <w:left w:val="nil"/>
              <w:bottom w:val="single" w:color="000000" w:sz="4" w:space="0"/>
              <w:right w:val="single" w:color="000000" w:sz="4" w:space="0"/>
            </w:tcBorders>
          </w:tcPr>
          <w:p w14:paraId="36520BDC">
            <w:pPr>
              <w:widowControl/>
              <w:ind w:firstLine="210" w:firstLineChars="100"/>
              <w:jc w:val="left"/>
              <w:rPr>
                <w:rFonts w:hint="eastAsia" w:ascii="宋体" w:hAnsi="宋体" w:cs="宋体"/>
                <w:kern w:val="0"/>
              </w:rPr>
            </w:pPr>
          </w:p>
          <w:p w14:paraId="7C7A50C7">
            <w:pPr>
              <w:widowControl/>
              <w:ind w:firstLine="210" w:firstLineChars="100"/>
              <w:jc w:val="left"/>
              <w:rPr>
                <w:rFonts w:hint="eastAsia" w:ascii="宋体" w:hAnsi="宋体" w:cs="宋体"/>
                <w:kern w:val="0"/>
              </w:rPr>
            </w:pPr>
            <w:r>
              <w:rPr>
                <w:rFonts w:hint="eastAsia" w:ascii="宋体" w:hAnsi="宋体" w:cs="宋体"/>
                <w:kern w:val="0"/>
              </w:rPr>
              <w:t>储气罐</w:t>
            </w:r>
          </w:p>
          <w:p w14:paraId="0B0E0C79">
            <w:pPr>
              <w:jc w:val="center"/>
            </w:pPr>
          </w:p>
        </w:tc>
        <w:tc>
          <w:tcPr>
            <w:tcW w:w="3633" w:type="dxa"/>
            <w:tcBorders>
              <w:top w:val="nil"/>
              <w:left w:val="nil"/>
              <w:bottom w:val="single" w:color="000000" w:sz="4" w:space="0"/>
              <w:right w:val="single" w:color="000000" w:sz="4" w:space="0"/>
            </w:tcBorders>
          </w:tcPr>
          <w:p w14:paraId="34F137CD">
            <w:pPr>
              <w:widowControl/>
              <w:jc w:val="left"/>
              <w:rPr>
                <w:rFonts w:ascii="宋体" w:hAnsi="宋体" w:cs="宋体"/>
                <w:kern w:val="0"/>
                <w:sz w:val="24"/>
                <w:szCs w:val="24"/>
              </w:rPr>
            </w:pPr>
            <w:r>
              <w:rPr>
                <w:rFonts w:hint="eastAsia" w:ascii="宋体" w:hAnsi="宋体" w:cs="宋体"/>
                <w:kern w:val="0"/>
              </w:rPr>
              <w:t xml:space="preserve">容积：1.0 m³ </w:t>
            </w:r>
          </w:p>
          <w:p w14:paraId="65DE1130">
            <w:pPr>
              <w:widowControl/>
              <w:jc w:val="left"/>
              <w:rPr>
                <w:rFonts w:ascii="宋体" w:hAnsi="宋体" w:cs="宋体"/>
                <w:kern w:val="0"/>
                <w:sz w:val="24"/>
                <w:szCs w:val="24"/>
              </w:rPr>
            </w:pPr>
            <w:r>
              <w:rPr>
                <w:rFonts w:hint="eastAsia" w:ascii="宋体" w:hAnsi="宋体" w:cs="宋体"/>
                <w:kern w:val="0"/>
              </w:rPr>
              <w:t>材质：碳钢 / 不锈钢</w:t>
            </w:r>
          </w:p>
          <w:p w14:paraId="2C54A52E">
            <w:r>
              <w:rPr>
                <w:rFonts w:hint="eastAsia" w:ascii="宋体" w:hAnsi="宋体" w:cs="宋体"/>
                <w:kern w:val="0"/>
              </w:rPr>
              <w:t>压力设计：0.8 Mpa</w:t>
            </w:r>
          </w:p>
        </w:tc>
        <w:tc>
          <w:tcPr>
            <w:tcW w:w="960" w:type="dxa"/>
            <w:tcBorders>
              <w:top w:val="nil"/>
              <w:left w:val="nil"/>
              <w:bottom w:val="single" w:color="000000" w:sz="4" w:space="0"/>
              <w:right w:val="single" w:color="000000" w:sz="4" w:space="0"/>
            </w:tcBorders>
          </w:tcPr>
          <w:p w14:paraId="5AF75D19">
            <w:pPr>
              <w:jc w:val="center"/>
            </w:pPr>
          </w:p>
          <w:p w14:paraId="65997616">
            <w:pPr>
              <w:jc w:val="center"/>
            </w:pPr>
            <w:r>
              <w:rPr>
                <w:rFonts w:hint="eastAsia"/>
              </w:rPr>
              <w:t>2</w:t>
            </w:r>
          </w:p>
        </w:tc>
        <w:tc>
          <w:tcPr>
            <w:tcW w:w="1168" w:type="dxa"/>
            <w:tcBorders>
              <w:top w:val="nil"/>
              <w:left w:val="nil"/>
              <w:bottom w:val="single" w:color="000000" w:sz="4" w:space="0"/>
              <w:right w:val="single" w:color="000000" w:sz="4" w:space="0"/>
            </w:tcBorders>
          </w:tcPr>
          <w:p w14:paraId="14F5D3DE">
            <w:pPr>
              <w:jc w:val="center"/>
            </w:pPr>
          </w:p>
          <w:p w14:paraId="586C6D25">
            <w:pPr>
              <w:jc w:val="center"/>
            </w:pPr>
            <w:r>
              <w:t>个</w:t>
            </w:r>
          </w:p>
        </w:tc>
      </w:tr>
      <w:tr w14:paraId="61354B67">
        <w:tblPrEx>
          <w:tblCellMar>
            <w:top w:w="0" w:type="dxa"/>
            <w:left w:w="108" w:type="dxa"/>
            <w:bottom w:w="0" w:type="dxa"/>
            <w:right w:w="108" w:type="dxa"/>
          </w:tblCellMar>
        </w:tblPrEx>
        <w:tc>
          <w:tcPr>
            <w:tcW w:w="761" w:type="dxa"/>
            <w:tcBorders>
              <w:top w:val="nil"/>
              <w:left w:val="single" w:color="000000" w:sz="4" w:space="0"/>
              <w:bottom w:val="single" w:color="000000" w:sz="4" w:space="0"/>
              <w:right w:val="single" w:color="000000" w:sz="4" w:space="0"/>
            </w:tcBorders>
          </w:tcPr>
          <w:p w14:paraId="7A4583AF">
            <w:pPr>
              <w:jc w:val="center"/>
              <w:rPr>
                <w:sz w:val="24"/>
                <w:szCs w:val="24"/>
              </w:rPr>
            </w:pPr>
          </w:p>
          <w:p w14:paraId="0A704B35">
            <w:pPr>
              <w:jc w:val="center"/>
              <w:rPr>
                <w:rFonts w:hint="eastAsia" w:cs="Calibri"/>
                <w:sz w:val="24"/>
                <w:szCs w:val="24"/>
              </w:rPr>
            </w:pPr>
          </w:p>
          <w:p w14:paraId="01832385">
            <w:pPr>
              <w:jc w:val="center"/>
              <w:rPr>
                <w:sz w:val="24"/>
                <w:szCs w:val="24"/>
              </w:rPr>
            </w:pPr>
            <w:r>
              <w:rPr>
                <w:rFonts w:hint="eastAsia" w:cs="Calibri"/>
                <w:sz w:val="24"/>
                <w:szCs w:val="24"/>
              </w:rPr>
              <w:t>5</w:t>
            </w:r>
          </w:p>
        </w:tc>
        <w:tc>
          <w:tcPr>
            <w:tcW w:w="1783" w:type="dxa"/>
            <w:tcBorders>
              <w:top w:val="nil"/>
              <w:left w:val="nil"/>
              <w:bottom w:val="single" w:color="000000" w:sz="4" w:space="0"/>
              <w:right w:val="single" w:color="000000" w:sz="4" w:space="0"/>
            </w:tcBorders>
          </w:tcPr>
          <w:p w14:paraId="3D0D870A">
            <w:pPr>
              <w:jc w:val="center"/>
              <w:rPr>
                <w:rFonts w:hint="eastAsia"/>
              </w:rPr>
            </w:pPr>
          </w:p>
          <w:p w14:paraId="3DF9D257">
            <w:pPr>
              <w:jc w:val="center"/>
              <w:rPr>
                <w:rFonts w:hint="eastAsia"/>
              </w:rPr>
            </w:pPr>
          </w:p>
          <w:p w14:paraId="50DDBC91">
            <w:pPr>
              <w:jc w:val="center"/>
              <w:rPr>
                <w:rFonts w:hint="eastAsia"/>
              </w:rPr>
            </w:pPr>
            <w:r>
              <w:rPr>
                <w:rFonts w:hint="eastAsia"/>
              </w:rPr>
              <w:t>除菌过滤器</w:t>
            </w:r>
          </w:p>
          <w:p w14:paraId="25984A8A">
            <w:pPr>
              <w:jc w:val="center"/>
            </w:pPr>
          </w:p>
        </w:tc>
        <w:tc>
          <w:tcPr>
            <w:tcW w:w="3633" w:type="dxa"/>
            <w:tcBorders>
              <w:top w:val="nil"/>
              <w:left w:val="nil"/>
              <w:bottom w:val="single" w:color="000000" w:sz="4" w:space="0"/>
              <w:right w:val="single" w:color="000000" w:sz="4" w:space="0"/>
            </w:tcBorders>
          </w:tcPr>
          <w:p w14:paraId="6E453771">
            <w:pPr>
              <w:widowControl/>
              <w:jc w:val="left"/>
              <w:rPr>
                <w:rFonts w:ascii="宋体" w:hAnsi="宋体" w:cs="宋体"/>
                <w:kern w:val="0"/>
                <w:sz w:val="24"/>
                <w:szCs w:val="24"/>
              </w:rPr>
            </w:pPr>
            <w:r>
              <w:rPr>
                <w:rFonts w:hint="eastAsia" w:ascii="宋体" w:hAnsi="宋体" w:cs="宋体"/>
                <w:kern w:val="0"/>
              </w:rPr>
              <w:t xml:space="preserve">品类：高精密 </w:t>
            </w:r>
          </w:p>
          <w:p w14:paraId="6261EA7B">
            <w:pPr>
              <w:widowControl/>
              <w:jc w:val="left"/>
              <w:rPr>
                <w:rFonts w:ascii="宋体" w:hAnsi="宋体" w:cs="宋体"/>
                <w:kern w:val="0"/>
              </w:rPr>
            </w:pPr>
            <w:r>
              <w:rPr>
                <w:rFonts w:hint="eastAsia" w:ascii="宋体" w:hAnsi="宋体" w:cs="宋体"/>
                <w:kern w:val="0"/>
              </w:rPr>
              <w:t xml:space="preserve">注：在经过四级处理后压缩空气微量油气及空气杂质精密滤除至0.01PPM，达到高品质的压缩空气 </w:t>
            </w:r>
          </w:p>
          <w:p w14:paraId="37BDCA37">
            <w:pPr>
              <w:jc w:val="left"/>
            </w:pPr>
            <w:r>
              <w:rPr>
                <w:rFonts w:hint="eastAsia" w:ascii="宋体" w:hAnsi="宋体" w:cs="宋体"/>
                <w:kern w:val="0"/>
              </w:rPr>
              <w:t xml:space="preserve">处理量:2.4 </w:t>
            </w:r>
            <w:bookmarkStart w:id="10" w:name="OLE_LINK9"/>
            <w:r>
              <w:rPr>
                <w:rFonts w:hint="eastAsia" w:ascii="宋体" w:hAnsi="宋体" w:cs="宋体"/>
                <w:kern w:val="0"/>
              </w:rPr>
              <w:t>m³</w:t>
            </w:r>
            <w:bookmarkEnd w:id="10"/>
            <w:r>
              <w:rPr>
                <w:rFonts w:hint="eastAsia" w:ascii="宋体" w:hAnsi="宋体" w:cs="宋体"/>
                <w:kern w:val="0"/>
              </w:rPr>
              <w:t>-3.6 m³ /min</w:t>
            </w:r>
          </w:p>
        </w:tc>
        <w:tc>
          <w:tcPr>
            <w:tcW w:w="960" w:type="dxa"/>
            <w:tcBorders>
              <w:top w:val="nil"/>
              <w:left w:val="nil"/>
              <w:bottom w:val="single" w:color="000000" w:sz="4" w:space="0"/>
              <w:right w:val="single" w:color="000000" w:sz="4" w:space="0"/>
            </w:tcBorders>
          </w:tcPr>
          <w:p w14:paraId="7A247D86">
            <w:pPr>
              <w:jc w:val="center"/>
            </w:pPr>
          </w:p>
          <w:p w14:paraId="272109B9">
            <w:pPr>
              <w:jc w:val="center"/>
            </w:pPr>
            <w:r>
              <w:rPr>
                <w:rFonts w:hint="eastAsia"/>
              </w:rPr>
              <w:t>1</w:t>
            </w:r>
          </w:p>
        </w:tc>
        <w:tc>
          <w:tcPr>
            <w:tcW w:w="1168" w:type="dxa"/>
            <w:tcBorders>
              <w:top w:val="nil"/>
              <w:left w:val="nil"/>
              <w:bottom w:val="single" w:color="000000" w:sz="4" w:space="0"/>
              <w:right w:val="single" w:color="000000" w:sz="4" w:space="0"/>
            </w:tcBorders>
          </w:tcPr>
          <w:p w14:paraId="52E26BB7">
            <w:pPr>
              <w:jc w:val="center"/>
            </w:pPr>
          </w:p>
          <w:p w14:paraId="69228F0E">
            <w:pPr>
              <w:jc w:val="center"/>
            </w:pPr>
            <w:r>
              <w:t>套</w:t>
            </w:r>
          </w:p>
        </w:tc>
      </w:tr>
      <w:tr w14:paraId="720E999B">
        <w:tblPrEx>
          <w:tblCellMar>
            <w:top w:w="0" w:type="dxa"/>
            <w:left w:w="108" w:type="dxa"/>
            <w:bottom w:w="0" w:type="dxa"/>
            <w:right w:w="108" w:type="dxa"/>
          </w:tblCellMar>
        </w:tblPrEx>
        <w:tc>
          <w:tcPr>
            <w:tcW w:w="761" w:type="dxa"/>
            <w:tcBorders>
              <w:top w:val="nil"/>
              <w:left w:val="single" w:color="000000" w:sz="4" w:space="0"/>
              <w:bottom w:val="single" w:color="000000" w:sz="4" w:space="0"/>
              <w:right w:val="single" w:color="000000" w:sz="4" w:space="0"/>
            </w:tcBorders>
          </w:tcPr>
          <w:p w14:paraId="29665CF6">
            <w:pPr>
              <w:rPr>
                <w:rFonts w:hint="eastAsia" w:cs="Calibri"/>
                <w:sz w:val="24"/>
                <w:szCs w:val="24"/>
              </w:rPr>
            </w:pPr>
          </w:p>
          <w:p w14:paraId="32B9C6D8">
            <w:pPr>
              <w:rPr>
                <w:rFonts w:hint="eastAsia" w:cs="Calibri"/>
                <w:sz w:val="24"/>
                <w:szCs w:val="24"/>
              </w:rPr>
            </w:pPr>
          </w:p>
          <w:p w14:paraId="33755835">
            <w:pPr>
              <w:ind w:firstLine="240" w:firstLineChars="100"/>
              <w:rPr>
                <w:sz w:val="24"/>
                <w:szCs w:val="24"/>
              </w:rPr>
            </w:pPr>
            <w:r>
              <w:rPr>
                <w:rFonts w:hint="eastAsia" w:cs="Calibri"/>
                <w:sz w:val="24"/>
                <w:szCs w:val="24"/>
              </w:rPr>
              <w:t>6</w:t>
            </w:r>
          </w:p>
        </w:tc>
        <w:tc>
          <w:tcPr>
            <w:tcW w:w="1783" w:type="dxa"/>
            <w:tcBorders>
              <w:top w:val="nil"/>
              <w:left w:val="nil"/>
              <w:bottom w:val="single" w:color="000000" w:sz="4" w:space="0"/>
              <w:right w:val="single" w:color="000000" w:sz="4" w:space="0"/>
            </w:tcBorders>
          </w:tcPr>
          <w:p w14:paraId="333D9FBB">
            <w:pPr>
              <w:rPr>
                <w:rFonts w:hint="eastAsia"/>
              </w:rPr>
            </w:pPr>
          </w:p>
          <w:p w14:paraId="6F375BA4">
            <w:pPr>
              <w:widowControl/>
              <w:ind w:firstLine="210" w:firstLineChars="100"/>
              <w:rPr>
                <w:rFonts w:hint="eastAsia" w:ascii="等线" w:hAnsi="等线" w:eastAsia="等线" w:cs="宋体"/>
                <w:bCs/>
                <w:kern w:val="0"/>
              </w:rPr>
            </w:pPr>
            <w:r>
              <w:rPr>
                <w:rFonts w:hint="eastAsia" w:ascii="等线" w:hAnsi="等线" w:eastAsia="等线" w:cs="宋体"/>
                <w:bCs/>
                <w:kern w:val="0"/>
              </w:rPr>
              <w:t>排风</w:t>
            </w:r>
          </w:p>
          <w:p w14:paraId="5D525C71">
            <w:pPr>
              <w:widowControl/>
              <w:ind w:firstLine="210" w:firstLineChars="100"/>
              <w:rPr>
                <w:rFonts w:hint="eastAsia" w:ascii="等线" w:hAnsi="等线" w:eastAsia="等线" w:cs="宋体"/>
                <w:bCs/>
                <w:kern w:val="0"/>
              </w:rPr>
            </w:pPr>
            <w:r>
              <w:rPr>
                <w:rFonts w:hint="eastAsia" w:ascii="等线" w:hAnsi="等线" w:eastAsia="等线" w:cs="宋体"/>
                <w:bCs/>
                <w:kern w:val="0"/>
              </w:rPr>
              <w:t>管道</w:t>
            </w:r>
          </w:p>
          <w:p w14:paraId="765080DB">
            <w:pPr>
              <w:widowControl/>
              <w:ind w:firstLine="210" w:firstLineChars="100"/>
              <w:jc w:val="center"/>
              <w:rPr>
                <w:rFonts w:hint="eastAsia" w:ascii="等线" w:hAnsi="等线" w:eastAsia="等线" w:cs="宋体"/>
                <w:bCs/>
                <w:kern w:val="0"/>
              </w:rPr>
            </w:pPr>
            <w:r>
              <w:rPr>
                <w:rFonts w:hint="eastAsia" w:ascii="等线" w:hAnsi="等线" w:eastAsia="等线" w:cs="宋体"/>
                <w:bCs/>
                <w:kern w:val="0"/>
              </w:rPr>
              <w:t>系统</w:t>
            </w:r>
          </w:p>
          <w:p w14:paraId="1DEEAEFD">
            <w:pPr>
              <w:widowControl/>
              <w:ind w:firstLine="210" w:firstLineChars="100"/>
              <w:jc w:val="center"/>
              <w:rPr>
                <w:rFonts w:ascii="宋体" w:hAnsi="宋体" w:cs="宋体"/>
                <w:kern w:val="0"/>
              </w:rPr>
            </w:pPr>
            <w:r>
              <w:rPr>
                <w:rFonts w:hint="eastAsia" w:ascii="等线" w:hAnsi="等线" w:eastAsia="等线" w:cs="宋体"/>
                <w:bCs/>
                <w:kern w:val="0"/>
              </w:rPr>
              <w:t>安装</w:t>
            </w:r>
          </w:p>
          <w:p w14:paraId="771F70D2"/>
        </w:tc>
        <w:tc>
          <w:tcPr>
            <w:tcW w:w="3633" w:type="dxa"/>
            <w:tcBorders>
              <w:top w:val="nil"/>
              <w:left w:val="nil"/>
              <w:bottom w:val="single" w:color="000000" w:sz="4" w:space="0"/>
              <w:right w:val="single" w:color="000000" w:sz="4" w:space="0"/>
            </w:tcBorders>
          </w:tcPr>
          <w:p w14:paraId="09F73C9C">
            <w:pPr>
              <w:rPr>
                <w:rFonts w:hint="eastAsia"/>
              </w:rPr>
            </w:pPr>
          </w:p>
          <w:p w14:paraId="72A6D6DE">
            <w:pPr>
              <w:rPr>
                <w:rFonts w:hint="eastAsia"/>
              </w:rPr>
            </w:pPr>
          </w:p>
          <w:p w14:paraId="7C97BC59">
            <w:r>
              <w:rPr>
                <w:rFonts w:hint="eastAsia"/>
              </w:rPr>
              <w:t>管道材质：不低于国标304#×DN25不锈钢材质要求，</w:t>
            </w:r>
            <w:r>
              <w:t>或医用气体规范使用的纯铜管道。</w:t>
            </w:r>
          </w:p>
        </w:tc>
        <w:tc>
          <w:tcPr>
            <w:tcW w:w="960" w:type="dxa"/>
            <w:tcBorders>
              <w:top w:val="nil"/>
              <w:left w:val="nil"/>
              <w:bottom w:val="single" w:color="000000" w:sz="4" w:space="0"/>
              <w:right w:val="single" w:color="000000" w:sz="4" w:space="0"/>
            </w:tcBorders>
          </w:tcPr>
          <w:p w14:paraId="3A437555">
            <w:pPr>
              <w:jc w:val="center"/>
            </w:pPr>
          </w:p>
          <w:p w14:paraId="7BB454D4">
            <w:pPr>
              <w:jc w:val="center"/>
              <w:rPr>
                <w:rFonts w:hint="eastAsia"/>
              </w:rPr>
            </w:pPr>
          </w:p>
          <w:p w14:paraId="026A89E4">
            <w:pPr>
              <w:jc w:val="center"/>
              <w:rPr>
                <w:rFonts w:hint="eastAsia"/>
              </w:rPr>
            </w:pPr>
            <w:r>
              <w:rPr>
                <w:rFonts w:hint="eastAsia"/>
              </w:rPr>
              <w:t>项</w:t>
            </w:r>
          </w:p>
          <w:p w14:paraId="2CEF51A1">
            <w:pPr>
              <w:jc w:val="center"/>
              <w:rPr>
                <w:rFonts w:hint="eastAsia"/>
              </w:rPr>
            </w:pPr>
          </w:p>
          <w:p w14:paraId="6E55BC4E">
            <w:pPr>
              <w:jc w:val="center"/>
            </w:pPr>
          </w:p>
        </w:tc>
        <w:tc>
          <w:tcPr>
            <w:tcW w:w="1168" w:type="dxa"/>
            <w:tcBorders>
              <w:top w:val="nil"/>
              <w:left w:val="nil"/>
              <w:bottom w:val="single" w:color="000000" w:sz="4" w:space="0"/>
              <w:right w:val="single" w:color="000000" w:sz="4" w:space="0"/>
            </w:tcBorders>
          </w:tcPr>
          <w:p w14:paraId="72B7A568">
            <w:pPr>
              <w:jc w:val="center"/>
            </w:pPr>
          </w:p>
          <w:p w14:paraId="6D772975">
            <w:pPr>
              <w:jc w:val="center"/>
              <w:rPr>
                <w:rFonts w:hint="eastAsia"/>
              </w:rPr>
            </w:pPr>
          </w:p>
          <w:p w14:paraId="0991752D">
            <w:pPr>
              <w:jc w:val="center"/>
              <w:rPr>
                <w:rFonts w:hint="eastAsia"/>
              </w:rPr>
            </w:pPr>
            <w:r>
              <w:rPr>
                <w:rFonts w:hint="eastAsia"/>
              </w:rPr>
              <w:t>1</w:t>
            </w:r>
          </w:p>
          <w:p w14:paraId="014D7445">
            <w:pPr>
              <w:jc w:val="center"/>
              <w:rPr>
                <w:rFonts w:hint="eastAsia"/>
              </w:rPr>
            </w:pPr>
          </w:p>
          <w:p w14:paraId="7ACEEA0C">
            <w:pPr>
              <w:jc w:val="center"/>
            </w:pPr>
          </w:p>
        </w:tc>
      </w:tr>
    </w:tbl>
    <w:p w14:paraId="4CC3B349">
      <w:r>
        <w:t xml:space="preserve"> </w:t>
      </w:r>
    </w:p>
    <w:p w14:paraId="3BE75425">
      <w:pPr>
        <w:rPr>
          <w:rFonts w:hint="eastAsia"/>
          <w:b/>
          <w:sz w:val="28"/>
          <w:szCs w:val="28"/>
        </w:rPr>
      </w:pPr>
      <w:r>
        <w:rPr>
          <w:rFonts w:hint="eastAsia"/>
          <w:b/>
          <w:sz w:val="28"/>
          <w:szCs w:val="28"/>
        </w:rPr>
        <w:t>四、主要技术要求：</w:t>
      </w:r>
    </w:p>
    <w:p w14:paraId="5EE49383">
      <w:pPr>
        <w:widowControl/>
        <w:numPr>
          <w:ilvl w:val="0"/>
          <w:numId w:val="1"/>
        </w:numPr>
        <w:ind w:left="0"/>
        <w:jc w:val="left"/>
        <w:rPr>
          <w:rFonts w:hint="eastAsia" w:ascii="宋体" w:hAnsi="宋体" w:cs="宋体"/>
          <w:kern w:val="0"/>
        </w:rPr>
      </w:pPr>
      <w:r>
        <w:rPr>
          <w:rFonts w:ascii="宋体" w:hAnsi="宋体" w:cs="宋体"/>
          <w:kern w:val="0"/>
        </w:rPr>
        <w:t>型号规格：涡旋式微油或无油空压机，单台电机功率≥15KW，符合国家二级及以上能效标准；</w:t>
      </w:r>
    </w:p>
    <w:p w14:paraId="1E3562AA">
      <w:pPr>
        <w:widowControl/>
        <w:numPr>
          <w:ilvl w:val="0"/>
          <w:numId w:val="1"/>
        </w:numPr>
        <w:ind w:left="0"/>
        <w:jc w:val="left"/>
        <w:rPr>
          <w:rFonts w:hint="eastAsia" w:ascii="宋体" w:hAnsi="宋体" w:cs="宋体"/>
          <w:kern w:val="0"/>
        </w:rPr>
      </w:pPr>
      <w:r>
        <w:rPr>
          <w:rFonts w:ascii="宋体" w:hAnsi="宋体" w:cs="宋体"/>
          <w:kern w:val="0"/>
        </w:rPr>
        <w:t>排气量</w:t>
      </w:r>
      <w:r>
        <w:rPr>
          <w:rFonts w:hint="eastAsia" w:ascii="宋体" w:hAnsi="宋体" w:cs="宋体"/>
          <w:kern w:val="0"/>
        </w:rPr>
        <w:t>、</w:t>
      </w:r>
      <w:r>
        <w:rPr>
          <w:rFonts w:ascii="宋体" w:hAnsi="宋体" w:cs="宋体"/>
          <w:kern w:val="0"/>
        </w:rPr>
        <w:t>工作压力</w:t>
      </w:r>
      <w:r>
        <w:rPr>
          <w:rFonts w:hint="eastAsia" w:ascii="宋体" w:hAnsi="宋体" w:cs="宋体"/>
          <w:kern w:val="0"/>
          <w:lang w:val="en-US" w:eastAsia="zh-CN"/>
        </w:rPr>
        <w:t>符合上表</w:t>
      </w:r>
      <w:r>
        <w:rPr>
          <w:rFonts w:ascii="宋体" w:hAnsi="宋体" w:cs="宋体"/>
          <w:kern w:val="0"/>
        </w:rPr>
        <w:t>技术参数范围要求；</w:t>
      </w:r>
    </w:p>
    <w:p w14:paraId="7526251D">
      <w:pPr>
        <w:widowControl/>
        <w:numPr>
          <w:ilvl w:val="0"/>
          <w:numId w:val="1"/>
        </w:numPr>
        <w:ind w:left="0"/>
        <w:jc w:val="left"/>
        <w:rPr>
          <w:rFonts w:hint="eastAsia" w:ascii="宋体" w:hAnsi="宋体" w:cs="宋体"/>
          <w:kern w:val="0"/>
        </w:rPr>
      </w:pPr>
      <w:r>
        <w:rPr>
          <w:rFonts w:ascii="宋体" w:hAnsi="宋体" w:cs="宋体"/>
          <w:kern w:val="0"/>
        </w:rPr>
        <w:t>空气质量：压缩空气需达到或接近相当 ISO 8573-1 Class 0 无油标准，含尘量≤0.1μm，含湿量≤3℃压力露点；</w:t>
      </w:r>
    </w:p>
    <w:p w14:paraId="399082D9">
      <w:pPr>
        <w:widowControl/>
        <w:numPr>
          <w:ilvl w:val="0"/>
          <w:numId w:val="1"/>
        </w:numPr>
        <w:ind w:left="0"/>
        <w:jc w:val="left"/>
        <w:rPr>
          <w:rFonts w:hint="eastAsia" w:ascii="宋体" w:hAnsi="宋体" w:cs="宋体"/>
          <w:kern w:val="0"/>
        </w:rPr>
      </w:pPr>
      <w:r>
        <w:rPr>
          <w:rFonts w:ascii="宋体" w:hAnsi="宋体" w:cs="宋体"/>
          <w:kern w:val="0"/>
        </w:rPr>
        <w:t>噪音水平：正常运行时噪音≤65dB（A），测量距离为设备 1 米处；</w:t>
      </w:r>
    </w:p>
    <w:p w14:paraId="46CA0316">
      <w:pPr>
        <w:widowControl/>
        <w:numPr>
          <w:ilvl w:val="0"/>
          <w:numId w:val="1"/>
        </w:numPr>
        <w:ind w:left="0"/>
        <w:jc w:val="left"/>
        <w:rPr>
          <w:rFonts w:hint="eastAsia" w:ascii="宋体" w:hAnsi="宋体" w:cs="宋体"/>
          <w:kern w:val="0"/>
        </w:rPr>
      </w:pPr>
      <w:r>
        <w:rPr>
          <w:rFonts w:ascii="宋体" w:hAnsi="宋体" w:cs="宋体"/>
          <w:kern w:val="0"/>
        </w:rPr>
        <w:t>冷却方式：采用风冷</w:t>
      </w:r>
      <w:r>
        <w:rPr>
          <w:rFonts w:hint="eastAsia" w:ascii="宋体" w:hAnsi="宋体" w:cs="宋体"/>
          <w:kern w:val="0"/>
        </w:rPr>
        <w:t>方式</w:t>
      </w:r>
      <w:r>
        <w:rPr>
          <w:rFonts w:ascii="宋体" w:hAnsi="宋体" w:cs="宋体"/>
          <w:kern w:val="0"/>
        </w:rPr>
        <w:t>，确保设备在环境温度 [-5℃~45℃] 范围内稳定运行。</w:t>
      </w:r>
    </w:p>
    <w:p w14:paraId="0E0DEFBF">
      <w:pPr>
        <w:widowControl/>
        <w:numPr>
          <w:ilvl w:val="0"/>
          <w:numId w:val="1"/>
        </w:numPr>
        <w:ind w:left="0"/>
        <w:jc w:val="left"/>
        <w:rPr>
          <w:rFonts w:hint="eastAsia" w:ascii="宋体" w:hAnsi="宋体" w:cs="宋体"/>
          <w:kern w:val="0"/>
        </w:rPr>
      </w:pPr>
      <w:r>
        <w:rPr>
          <w:rFonts w:ascii="宋体" w:hAnsi="宋体" w:cs="宋体"/>
          <w:kern w:val="0"/>
        </w:rPr>
        <w:t>核心部件：采用知名品牌电机为高效节能型（IE3 及以上标准），具备过载、过热、缺相保护功能；</w:t>
      </w:r>
    </w:p>
    <w:p w14:paraId="35C99825">
      <w:pPr>
        <w:widowControl/>
        <w:numPr>
          <w:ilvl w:val="0"/>
          <w:numId w:val="1"/>
        </w:numPr>
        <w:ind w:left="0"/>
        <w:jc w:val="left"/>
        <w:rPr>
          <w:rFonts w:hint="eastAsia" w:ascii="宋体" w:hAnsi="宋体" w:cs="宋体"/>
          <w:kern w:val="0"/>
        </w:rPr>
      </w:pPr>
      <w:r>
        <w:rPr>
          <w:rFonts w:ascii="宋体" w:hAnsi="宋体" w:cs="宋体"/>
          <w:kern w:val="0"/>
        </w:rPr>
        <w:t>控制系统：配备智能 PLC 控制系统，可实现自动启停、压力自动调节、运行状态实时监控（如压力、温度、电流等），支持故障报警及历史数据查询，具备远程监控接口（可选）；</w:t>
      </w:r>
    </w:p>
    <w:p w14:paraId="42556E4F">
      <w:pPr>
        <w:widowControl/>
        <w:numPr>
          <w:ilvl w:val="0"/>
          <w:numId w:val="1"/>
        </w:numPr>
        <w:ind w:left="0"/>
        <w:jc w:val="left"/>
        <w:rPr>
          <w:rFonts w:hint="eastAsia" w:ascii="宋体" w:hAnsi="宋体" w:cs="宋体"/>
          <w:kern w:val="0"/>
        </w:rPr>
      </w:pPr>
      <w:r>
        <w:rPr>
          <w:rFonts w:ascii="宋体" w:hAnsi="宋体" w:cs="宋体"/>
          <w:kern w:val="0"/>
        </w:rPr>
        <w:t>过滤系统：配置三级及以上空气过滤装置（初级过滤、精密过滤、活性炭过滤），确保压缩空气洁净度；若有干燥需求，需配套冷冻式或吸附式干燥机，干燥效率符合相关标准；</w:t>
      </w:r>
    </w:p>
    <w:p w14:paraId="259288AA">
      <w:pPr>
        <w:widowControl/>
        <w:numPr>
          <w:ilvl w:val="0"/>
          <w:numId w:val="1"/>
        </w:numPr>
        <w:ind w:left="0"/>
        <w:jc w:val="left"/>
        <w:rPr>
          <w:rFonts w:hint="eastAsia" w:ascii="宋体" w:hAnsi="宋体" w:cs="宋体"/>
          <w:kern w:val="0"/>
        </w:rPr>
      </w:pPr>
      <w:r>
        <w:rPr>
          <w:rFonts w:ascii="宋体" w:hAnsi="宋体" w:cs="宋体"/>
          <w:kern w:val="0"/>
        </w:rPr>
        <w:t>安全保护：具备高压保护、高温保护、油气分离器堵塞保护、电机过载保护等多重安全保护功能，设备运行异常时能自动停机并报警。</w:t>
      </w:r>
    </w:p>
    <w:p w14:paraId="0785CA01"/>
    <w:p w14:paraId="6BBF2E68">
      <w:r>
        <w:rPr>
          <w:rFonts w:hint="eastAsia"/>
          <w:b/>
          <w:bCs/>
          <w:sz w:val="24"/>
          <w:szCs w:val="24"/>
        </w:rPr>
        <w:t>五</w:t>
      </w:r>
      <w:r>
        <w:rPr>
          <w:b/>
          <w:bCs/>
          <w:sz w:val="24"/>
          <w:szCs w:val="24"/>
        </w:rPr>
        <w:t>、</w:t>
      </w:r>
      <w:r>
        <w:rPr>
          <w:rFonts w:hint="eastAsia" w:ascii="宋体" w:hAnsi="宋体"/>
          <w:b/>
          <w:bCs/>
          <w:sz w:val="24"/>
          <w:szCs w:val="24"/>
        </w:rPr>
        <w:t>主要商务要求</w:t>
      </w:r>
    </w:p>
    <w:tbl>
      <w:tblPr>
        <w:tblStyle w:val="2"/>
        <w:tblW w:w="8330" w:type="dxa"/>
        <w:tblInd w:w="0" w:type="dxa"/>
        <w:tblLayout w:type="fixed"/>
        <w:tblCellMar>
          <w:top w:w="0" w:type="dxa"/>
          <w:left w:w="108" w:type="dxa"/>
          <w:bottom w:w="0" w:type="dxa"/>
          <w:right w:w="108" w:type="dxa"/>
        </w:tblCellMar>
      </w:tblPr>
      <w:tblGrid>
        <w:gridCol w:w="1699"/>
        <w:gridCol w:w="6631"/>
      </w:tblGrid>
      <w:tr w14:paraId="475DB7FF">
        <w:tblPrEx>
          <w:tblCellMar>
            <w:top w:w="0" w:type="dxa"/>
            <w:left w:w="108" w:type="dxa"/>
            <w:bottom w:w="0" w:type="dxa"/>
            <w:right w:w="108" w:type="dxa"/>
          </w:tblCellMar>
        </w:tblPrEx>
        <w:tc>
          <w:tcPr>
            <w:tcW w:w="1699" w:type="dxa"/>
            <w:tcBorders>
              <w:top w:val="single" w:color="auto" w:sz="2" w:space="0"/>
              <w:left w:val="single" w:color="auto" w:sz="2" w:space="0"/>
              <w:bottom w:val="single" w:color="auto" w:sz="2" w:space="0"/>
              <w:right w:val="single" w:color="auto" w:sz="2" w:space="0"/>
            </w:tcBorders>
          </w:tcPr>
          <w:p w14:paraId="6BFC5DD7">
            <w:pPr>
              <w:jc w:val="center"/>
            </w:pPr>
          </w:p>
          <w:p w14:paraId="1EB3622F">
            <w:pPr>
              <w:jc w:val="center"/>
            </w:pPr>
            <w:r>
              <w:rPr>
                <w:rFonts w:ascii="宋体" w:hAnsi="宋体"/>
              </w:rPr>
              <w:t>标的提供的时间</w:t>
            </w:r>
          </w:p>
        </w:tc>
        <w:tc>
          <w:tcPr>
            <w:tcW w:w="6631" w:type="dxa"/>
            <w:tcBorders>
              <w:top w:val="single" w:color="auto" w:sz="2" w:space="0"/>
              <w:left w:val="nil"/>
              <w:bottom w:val="single" w:color="auto" w:sz="2" w:space="0"/>
              <w:right w:val="single" w:color="auto" w:sz="2" w:space="0"/>
            </w:tcBorders>
          </w:tcPr>
          <w:p w14:paraId="34BF7F3B">
            <w:r>
              <w:rPr>
                <w:rFonts w:hint="eastAsia" w:ascii="宋体" w:hAnsi="宋体"/>
              </w:rPr>
              <w:t>★交货期或完工期：项目中标后接甲方通知之日起</w:t>
            </w:r>
            <w:r>
              <w:rPr>
                <w:rFonts w:hint="eastAsia" w:cs="Calibri"/>
              </w:rPr>
              <w:t>30</w:t>
            </w:r>
            <w:r>
              <w:rPr>
                <w:rFonts w:hint="eastAsia" w:ascii="宋体" w:hAnsi="宋体"/>
              </w:rPr>
              <w:t>日内完成交货和安装工作，包括投标标的深化设计和安装，验收合格、满足正常使用需求。</w:t>
            </w:r>
          </w:p>
        </w:tc>
      </w:tr>
      <w:tr w14:paraId="4D859814">
        <w:tblPrEx>
          <w:tblCellMar>
            <w:top w:w="0" w:type="dxa"/>
            <w:left w:w="108" w:type="dxa"/>
            <w:bottom w:w="0" w:type="dxa"/>
            <w:right w:w="108" w:type="dxa"/>
          </w:tblCellMar>
        </w:tblPrEx>
        <w:tc>
          <w:tcPr>
            <w:tcW w:w="1699" w:type="dxa"/>
            <w:tcBorders>
              <w:top w:val="single" w:color="auto" w:sz="2" w:space="0"/>
              <w:left w:val="single" w:color="auto" w:sz="2" w:space="0"/>
              <w:bottom w:val="single" w:color="auto" w:sz="2" w:space="0"/>
              <w:right w:val="single" w:color="auto" w:sz="2" w:space="0"/>
            </w:tcBorders>
          </w:tcPr>
          <w:p w14:paraId="1C4CDCDB">
            <w:pPr>
              <w:jc w:val="center"/>
            </w:pPr>
          </w:p>
          <w:p w14:paraId="06D6D28D">
            <w:pPr>
              <w:jc w:val="center"/>
            </w:pPr>
            <w:r>
              <w:rPr>
                <w:rFonts w:ascii="宋体" w:hAnsi="宋体"/>
              </w:rPr>
              <w:t>标的提供的地点</w:t>
            </w:r>
          </w:p>
        </w:tc>
        <w:tc>
          <w:tcPr>
            <w:tcW w:w="6631" w:type="dxa"/>
            <w:tcBorders>
              <w:top w:val="single" w:color="auto" w:sz="2" w:space="0"/>
              <w:left w:val="nil"/>
              <w:bottom w:val="single" w:color="auto" w:sz="2" w:space="0"/>
              <w:right w:val="single" w:color="auto" w:sz="2" w:space="0"/>
            </w:tcBorders>
          </w:tcPr>
          <w:p w14:paraId="4282333C">
            <w:r>
              <w:rPr>
                <w:rFonts w:ascii="宋体" w:hAnsi="宋体"/>
              </w:rPr>
              <w:t>交货地点：采购人（用户）所在地，地址为：采购人指定地点（广东省佛山市禅城区</w:t>
            </w:r>
            <w:r>
              <w:rPr>
                <w:rFonts w:hint="eastAsia" w:ascii="宋体" w:hAnsi="宋体"/>
              </w:rPr>
              <w:t>南庄镇</w:t>
            </w:r>
            <w:r>
              <w:rPr>
                <w:rFonts w:ascii="宋体" w:hAnsi="宋体"/>
              </w:rPr>
              <w:t>绿岛湖禅港路</w:t>
            </w:r>
            <w:r>
              <w:rPr>
                <w:rFonts w:hint="eastAsia" w:ascii="宋体" w:hAnsi="宋体"/>
              </w:rPr>
              <w:t>9号1-10座</w:t>
            </w:r>
            <w:r>
              <w:rPr>
                <w:rFonts w:ascii="宋体" w:hAnsi="宋体"/>
              </w:rPr>
              <w:t>）</w:t>
            </w:r>
          </w:p>
        </w:tc>
      </w:tr>
      <w:tr w14:paraId="42C665EF">
        <w:tblPrEx>
          <w:tblCellMar>
            <w:top w:w="0" w:type="dxa"/>
            <w:left w:w="108" w:type="dxa"/>
            <w:bottom w:w="0" w:type="dxa"/>
            <w:right w:w="108" w:type="dxa"/>
          </w:tblCellMar>
        </w:tblPrEx>
        <w:tc>
          <w:tcPr>
            <w:tcW w:w="1699" w:type="dxa"/>
            <w:tcBorders>
              <w:top w:val="single" w:color="auto" w:sz="2" w:space="0"/>
              <w:left w:val="single" w:color="auto" w:sz="2" w:space="0"/>
              <w:bottom w:val="single" w:color="auto" w:sz="2" w:space="0"/>
              <w:right w:val="single" w:color="auto" w:sz="2" w:space="0"/>
            </w:tcBorders>
          </w:tcPr>
          <w:p w14:paraId="287D0C6C">
            <w:pPr>
              <w:rPr>
                <w:rFonts w:hint="eastAsia"/>
                <w:color w:val="FF0000"/>
              </w:rPr>
            </w:pPr>
          </w:p>
          <w:p w14:paraId="6F2F5F44">
            <w:pPr>
              <w:jc w:val="center"/>
              <w:rPr>
                <w:rFonts w:hint="eastAsia"/>
                <w:color w:val="FF0000"/>
              </w:rPr>
            </w:pPr>
          </w:p>
          <w:p w14:paraId="0CB32898">
            <w:pPr>
              <w:jc w:val="center"/>
              <w:rPr>
                <w:color w:val="FF0000"/>
              </w:rPr>
            </w:pPr>
            <w:r>
              <w:rPr>
                <w:rFonts w:ascii="宋体" w:hAnsi="宋体"/>
                <w:color w:val="FF0000"/>
              </w:rPr>
              <w:t>付款方式</w:t>
            </w:r>
          </w:p>
        </w:tc>
        <w:tc>
          <w:tcPr>
            <w:tcW w:w="6631" w:type="dxa"/>
            <w:tcBorders>
              <w:top w:val="single" w:color="auto" w:sz="2" w:space="0"/>
              <w:left w:val="nil"/>
              <w:bottom w:val="single" w:color="auto" w:sz="2" w:space="0"/>
              <w:right w:val="single" w:color="auto" w:sz="2" w:space="0"/>
            </w:tcBorders>
          </w:tcPr>
          <w:p w14:paraId="3A6219CB">
            <w:pPr>
              <w:topLinePunct/>
              <w:adjustRightInd w:val="0"/>
              <w:snapToGrid w:val="0"/>
              <w:spacing w:line="360" w:lineRule="auto"/>
              <w:rPr>
                <w:rFonts w:ascii="宋体" w:hAnsi="宋体"/>
                <w:color w:val="FF0000"/>
              </w:rPr>
            </w:pPr>
            <w:r>
              <w:rPr>
                <w:rFonts w:hint="eastAsia" w:ascii="宋体" w:hAnsi="宋体"/>
                <w:color w:val="FF0000"/>
              </w:rPr>
              <w:t>（1）项目中标或合同签订后，合同主体设备到场安装、调试完成并经验收合格，可以正常使用15天，乙方提交</w:t>
            </w:r>
            <w:r>
              <w:rPr>
                <w:rFonts w:hint="eastAsia" w:ascii="宋体" w:hAnsi="宋体"/>
                <w:color w:val="FF0000"/>
                <w:lang w:val="en-US" w:eastAsia="zh-CN"/>
              </w:rPr>
              <w:t>有效发票和</w:t>
            </w:r>
            <w:r>
              <w:rPr>
                <w:rFonts w:hint="eastAsia" w:ascii="宋体" w:hAnsi="宋体"/>
                <w:color w:val="FF0000"/>
              </w:rPr>
              <w:t>付款申请后30天内，甲方向乙方支付本合同总价的9</w:t>
            </w:r>
            <w:r>
              <w:rPr>
                <w:rFonts w:hint="eastAsia" w:ascii="宋体" w:hAnsi="宋体"/>
                <w:color w:val="FF0000"/>
                <w:lang w:val="en-US" w:eastAsia="zh-CN"/>
              </w:rPr>
              <w:t>7</w:t>
            </w:r>
            <w:r>
              <w:rPr>
                <w:rFonts w:hint="eastAsia" w:ascii="宋体" w:hAnsi="宋体"/>
                <w:color w:val="FF0000"/>
              </w:rPr>
              <w:t>%的结算款（第1期款）；</w:t>
            </w:r>
          </w:p>
          <w:p w14:paraId="1EF7F997">
            <w:pPr>
              <w:topLinePunct/>
              <w:adjustRightInd w:val="0"/>
              <w:snapToGrid w:val="0"/>
              <w:spacing w:line="360" w:lineRule="auto"/>
              <w:rPr>
                <w:rFonts w:ascii="宋体" w:hAnsi="宋体"/>
                <w:color w:val="FF0000"/>
              </w:rPr>
            </w:pPr>
            <w:r>
              <w:rPr>
                <w:rFonts w:hint="eastAsia" w:ascii="宋体" w:hAnsi="宋体"/>
                <w:color w:val="FF0000"/>
              </w:rPr>
              <w:t>（2）项目合同2年质保期满且通过质量保证期满验收，乙方提交支付申请后30天内，甲方向乙方支付结算金额的</w:t>
            </w:r>
            <w:r>
              <w:rPr>
                <w:rFonts w:hint="eastAsia" w:ascii="宋体" w:hAnsi="宋体"/>
                <w:color w:val="FF0000"/>
                <w:lang w:val="en-US" w:eastAsia="zh-CN"/>
              </w:rPr>
              <w:t>3</w:t>
            </w:r>
            <w:bookmarkStart w:id="11" w:name="_GoBack"/>
            <w:bookmarkEnd w:id="11"/>
            <w:r>
              <w:rPr>
                <w:rFonts w:hint="eastAsia" w:ascii="宋体" w:hAnsi="宋体"/>
                <w:color w:val="FF0000"/>
              </w:rPr>
              <w:t>%（第2期款）。</w:t>
            </w:r>
          </w:p>
        </w:tc>
      </w:tr>
      <w:tr w14:paraId="61F6DC1C">
        <w:tblPrEx>
          <w:tblCellMar>
            <w:top w:w="0" w:type="dxa"/>
            <w:left w:w="108" w:type="dxa"/>
            <w:bottom w:w="0" w:type="dxa"/>
            <w:right w:w="108" w:type="dxa"/>
          </w:tblCellMar>
        </w:tblPrEx>
        <w:tc>
          <w:tcPr>
            <w:tcW w:w="1699" w:type="dxa"/>
            <w:tcBorders>
              <w:top w:val="single" w:color="auto" w:sz="2" w:space="0"/>
              <w:left w:val="single" w:color="auto" w:sz="2" w:space="0"/>
              <w:bottom w:val="single" w:color="auto" w:sz="2" w:space="0"/>
              <w:right w:val="single" w:color="auto" w:sz="2" w:space="0"/>
            </w:tcBorders>
          </w:tcPr>
          <w:p w14:paraId="09811EE3"/>
          <w:p w14:paraId="4E09ED9D">
            <w:pPr>
              <w:jc w:val="center"/>
              <w:rPr>
                <w:rFonts w:hint="eastAsia"/>
              </w:rPr>
            </w:pPr>
          </w:p>
          <w:p w14:paraId="62FD3C5C">
            <w:pPr>
              <w:jc w:val="center"/>
              <w:rPr>
                <w:rFonts w:hint="eastAsia"/>
              </w:rPr>
            </w:pPr>
          </w:p>
          <w:p w14:paraId="6A17B3A4">
            <w:pPr>
              <w:jc w:val="center"/>
              <w:rPr>
                <w:rFonts w:hint="eastAsia"/>
              </w:rPr>
            </w:pPr>
          </w:p>
          <w:p w14:paraId="35AF7E65">
            <w:pPr>
              <w:jc w:val="center"/>
              <w:rPr>
                <w:rFonts w:hint="eastAsia"/>
              </w:rPr>
            </w:pPr>
          </w:p>
          <w:p w14:paraId="2A46FB8A">
            <w:pPr>
              <w:jc w:val="center"/>
              <w:rPr>
                <w:rFonts w:hint="eastAsia"/>
              </w:rPr>
            </w:pPr>
          </w:p>
          <w:p w14:paraId="4DF8AEE7">
            <w:pPr>
              <w:jc w:val="center"/>
              <w:rPr>
                <w:rFonts w:hint="eastAsia"/>
              </w:rPr>
            </w:pPr>
          </w:p>
          <w:p w14:paraId="15BDFE34">
            <w:pPr>
              <w:jc w:val="center"/>
              <w:rPr>
                <w:rFonts w:hint="eastAsia"/>
              </w:rPr>
            </w:pPr>
          </w:p>
          <w:p w14:paraId="3D164722">
            <w:pPr>
              <w:jc w:val="center"/>
              <w:rPr>
                <w:rFonts w:hint="eastAsia"/>
              </w:rPr>
            </w:pPr>
          </w:p>
          <w:p w14:paraId="43690662">
            <w:pPr>
              <w:jc w:val="center"/>
              <w:rPr>
                <w:rFonts w:hint="eastAsia"/>
              </w:rPr>
            </w:pPr>
          </w:p>
          <w:p w14:paraId="02B79ADD">
            <w:pPr>
              <w:jc w:val="center"/>
              <w:rPr>
                <w:rFonts w:hint="eastAsia"/>
              </w:rPr>
            </w:pPr>
          </w:p>
          <w:p w14:paraId="3D91368F">
            <w:pPr>
              <w:jc w:val="center"/>
              <w:rPr>
                <w:rFonts w:hint="eastAsia"/>
              </w:rPr>
            </w:pPr>
          </w:p>
          <w:p w14:paraId="3D50F682">
            <w:pPr>
              <w:jc w:val="center"/>
              <w:rPr>
                <w:rFonts w:hint="eastAsia"/>
              </w:rPr>
            </w:pPr>
          </w:p>
          <w:p w14:paraId="6E200194">
            <w:pPr>
              <w:jc w:val="center"/>
              <w:rPr>
                <w:rFonts w:hint="eastAsia"/>
              </w:rPr>
            </w:pPr>
          </w:p>
          <w:p w14:paraId="746423F6">
            <w:pPr>
              <w:jc w:val="center"/>
              <w:rPr>
                <w:rFonts w:hint="eastAsia"/>
              </w:rPr>
            </w:pPr>
          </w:p>
          <w:p w14:paraId="13F7457E">
            <w:pPr>
              <w:jc w:val="center"/>
              <w:rPr>
                <w:rFonts w:hint="eastAsia"/>
              </w:rPr>
            </w:pPr>
          </w:p>
          <w:p w14:paraId="472EB743">
            <w:pPr>
              <w:jc w:val="center"/>
              <w:rPr>
                <w:rFonts w:hint="eastAsia"/>
              </w:rPr>
            </w:pPr>
          </w:p>
          <w:p w14:paraId="12A6C3EC">
            <w:pPr>
              <w:wordWrap w:val="0"/>
              <w:topLinePunct/>
              <w:adjustRightInd w:val="0"/>
              <w:snapToGrid w:val="0"/>
              <w:spacing w:line="360" w:lineRule="auto"/>
              <w:jc w:val="center"/>
              <w:rPr>
                <w:rFonts w:hint="eastAsia" w:ascii="宋体" w:hAnsi="宋体"/>
                <w:b/>
                <w:bCs/>
              </w:rPr>
            </w:pPr>
          </w:p>
          <w:p w14:paraId="57D59250">
            <w:pPr>
              <w:wordWrap w:val="0"/>
              <w:topLinePunct/>
              <w:adjustRightInd w:val="0"/>
              <w:snapToGrid w:val="0"/>
              <w:spacing w:line="360" w:lineRule="auto"/>
              <w:jc w:val="center"/>
              <w:rPr>
                <w:rFonts w:hint="eastAsia" w:ascii="宋体" w:hAnsi="宋体"/>
                <w:b/>
                <w:bCs/>
              </w:rPr>
            </w:pPr>
          </w:p>
          <w:p w14:paraId="7645677D">
            <w:pPr>
              <w:wordWrap w:val="0"/>
              <w:topLinePunct/>
              <w:adjustRightInd w:val="0"/>
              <w:snapToGrid w:val="0"/>
              <w:spacing w:line="360" w:lineRule="auto"/>
              <w:jc w:val="center"/>
              <w:rPr>
                <w:rFonts w:hint="eastAsia" w:ascii="宋体" w:hAnsi="宋体"/>
                <w:b/>
                <w:bCs/>
              </w:rPr>
            </w:pPr>
            <w:r>
              <w:rPr>
                <w:rFonts w:hint="eastAsia" w:ascii="宋体" w:hAnsi="宋体"/>
                <w:b/>
                <w:bCs/>
              </w:rPr>
              <w:t>货物验收</w:t>
            </w:r>
          </w:p>
          <w:p w14:paraId="687AEB1D">
            <w:pPr>
              <w:wordWrap w:val="0"/>
              <w:topLinePunct/>
              <w:adjustRightInd w:val="0"/>
              <w:snapToGrid w:val="0"/>
              <w:spacing w:line="360" w:lineRule="auto"/>
              <w:jc w:val="center"/>
              <w:rPr>
                <w:rFonts w:hint="eastAsia" w:ascii="宋体" w:hAnsi="宋体"/>
                <w:b/>
                <w:bCs/>
              </w:rPr>
            </w:pPr>
            <w:r>
              <w:rPr>
                <w:rFonts w:hint="eastAsia" w:ascii="宋体" w:hAnsi="宋体"/>
                <w:b/>
                <w:bCs/>
              </w:rPr>
              <w:t>与</w:t>
            </w:r>
          </w:p>
          <w:p w14:paraId="68C7BF4F">
            <w:pPr>
              <w:wordWrap w:val="0"/>
              <w:topLinePunct/>
              <w:adjustRightInd w:val="0"/>
              <w:snapToGrid w:val="0"/>
              <w:spacing w:line="360" w:lineRule="auto"/>
              <w:jc w:val="center"/>
              <w:rPr>
                <w:rFonts w:hint="eastAsia" w:ascii="宋体" w:hAnsi="宋体"/>
              </w:rPr>
            </w:pPr>
            <w:r>
              <w:rPr>
                <w:rFonts w:hint="eastAsia" w:ascii="宋体" w:hAnsi="宋体"/>
                <w:b/>
                <w:bCs/>
              </w:rPr>
              <w:t>安装调试</w:t>
            </w:r>
          </w:p>
          <w:p w14:paraId="0865ADDC">
            <w:pPr>
              <w:rPr>
                <w:rFonts w:hint="eastAsia"/>
              </w:rPr>
            </w:pPr>
          </w:p>
          <w:p w14:paraId="6E2C9E79">
            <w:pPr>
              <w:jc w:val="center"/>
            </w:pPr>
          </w:p>
        </w:tc>
        <w:tc>
          <w:tcPr>
            <w:tcW w:w="6631" w:type="dxa"/>
            <w:tcBorders>
              <w:top w:val="single" w:color="auto" w:sz="2" w:space="0"/>
              <w:left w:val="nil"/>
              <w:bottom w:val="single" w:color="auto" w:sz="2" w:space="0"/>
              <w:right w:val="single" w:color="auto" w:sz="2" w:space="0"/>
            </w:tcBorders>
          </w:tcPr>
          <w:p w14:paraId="44390FC6">
            <w:pPr>
              <w:wordWrap w:val="0"/>
              <w:topLinePunct/>
              <w:adjustRightInd w:val="0"/>
              <w:snapToGrid w:val="0"/>
              <w:spacing w:line="360" w:lineRule="auto"/>
              <w:ind w:firstLine="422" w:firstLineChars="200"/>
              <w:rPr>
                <w:rFonts w:ascii="宋体" w:hAnsi="宋体"/>
              </w:rPr>
            </w:pPr>
            <w:r>
              <w:rPr>
                <w:rFonts w:hint="eastAsia" w:ascii="宋体" w:hAnsi="宋体"/>
                <w:b/>
                <w:bCs/>
              </w:rPr>
              <w:t>1.</w:t>
            </w:r>
            <w:r>
              <w:rPr>
                <w:rFonts w:hint="eastAsia" w:ascii="宋体" w:hAnsi="宋体"/>
              </w:rPr>
              <w:t>货物验收</w:t>
            </w:r>
          </w:p>
          <w:p w14:paraId="2F42AB91">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1.1</w:t>
            </w:r>
            <w:r>
              <w:rPr>
                <w:rFonts w:hint="eastAsia" w:ascii="宋体" w:hAnsi="宋体"/>
              </w:rPr>
              <w:t>合同设备交付后应进行货物验收，即合同设备数量及外观检验，货物验收在合同设备交付时进行。</w:t>
            </w:r>
          </w:p>
          <w:p w14:paraId="3ABB4E58">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1.2</w:t>
            </w:r>
            <w:r>
              <w:rPr>
                <w:rFonts w:hint="eastAsia" w:ascii="宋体" w:hAnsi="宋体"/>
              </w:rPr>
              <w:t>除合同条款另有约定外，合同设备的验收应在进入安装场地前进行。</w:t>
            </w:r>
          </w:p>
          <w:p w14:paraId="7EDE8B89">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1.3</w:t>
            </w:r>
            <w:r>
              <w:rPr>
                <w:rFonts w:hint="eastAsia" w:ascii="宋体" w:hAnsi="宋体"/>
              </w:rPr>
              <w:t>验收由甲乙双方代表共同进行，乙方须自负费用派遣代表到场参加开箱检验。</w:t>
            </w:r>
          </w:p>
          <w:p w14:paraId="2815E27B">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1.4</w:t>
            </w:r>
            <w:r>
              <w:rPr>
                <w:rFonts w:hint="eastAsia" w:ascii="宋体" w:hAnsi="宋体"/>
              </w:rPr>
              <w:t>在开箱检验中，甲方和乙方应共同签署数量、外观检验报告，报告应列明检验结果，包括检验合格或发现的任何短缺、损坏或其它与合同约定不符的情形。</w:t>
            </w:r>
          </w:p>
          <w:p w14:paraId="0CBC6D5C">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1.5</w:t>
            </w:r>
            <w:r>
              <w:rPr>
                <w:rFonts w:hint="eastAsia" w:ascii="宋体" w:hAnsi="宋体"/>
              </w:rPr>
              <w:t>如乙方代表未能依约到场参加开箱检验，甲方有权在乙方代表未在场的情况下进行开箱检验，并签署数量、外观检验报告，对于该检验报告和检验结果，视为乙方已接受，但乙方确有合理理由且事先与甲方协商推迟开箱检验时间的除外。</w:t>
            </w:r>
          </w:p>
          <w:p w14:paraId="2ADC06AE">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1.6</w:t>
            </w:r>
            <w:r>
              <w:rPr>
                <w:rFonts w:hint="eastAsia" w:ascii="宋体" w:hAnsi="宋体"/>
              </w:rPr>
              <w:t>合同设备交付以后到开箱检验之前，由乙方负责按交货时外包装原样对合同设备进行妥善保管。如开箱检验时设备外包装与交货时不一致，则开箱检验中发现的合同设备的短缺、损坏或其它与合同约定不符的情形，由乙方负责，乙方须补齐、更换及采取其他补救措施。</w:t>
            </w:r>
          </w:p>
          <w:p w14:paraId="7CBD4939">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1.7</w:t>
            </w:r>
            <w:r>
              <w:rPr>
                <w:rFonts w:hint="eastAsia" w:ascii="宋体" w:hAnsi="宋体"/>
              </w:rPr>
              <w:t>如双方在合同条款和（或）供货要求等合同文件中约定由第三方检测机构对合同设备进行开箱检验或在开箱检验过程中另行约定由第三方检验的，则第三方检测机构的检验结果对双方均具有约束力。</w:t>
            </w:r>
          </w:p>
          <w:p w14:paraId="038E5C5B">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1.8</w:t>
            </w:r>
            <w:r>
              <w:rPr>
                <w:rFonts w:hint="eastAsia" w:ascii="宋体" w:hAnsi="宋体"/>
              </w:rPr>
              <w:t>货物验收的结果不能对抗在合同设备的安装、调试、验收中及质量保证期内发现的合同设备质量问题，也不能免除或影响乙方依照合同约定对甲方负有的包括合同设备质量在内的任何义务或责任。</w:t>
            </w:r>
          </w:p>
          <w:p w14:paraId="7936D015">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1.9</w:t>
            </w:r>
            <w:r>
              <w:rPr>
                <w:rFonts w:hint="eastAsia" w:ascii="宋体" w:hAnsi="宋体"/>
              </w:rPr>
              <w:t>发现有缺陷或与合同或甲方确认的样品不符的，乙方须及时更换，但不得影响工期。</w:t>
            </w:r>
          </w:p>
          <w:p w14:paraId="28BAA4DF">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1.10</w:t>
            </w:r>
            <w:r>
              <w:rPr>
                <w:rFonts w:hint="eastAsia" w:ascii="宋体" w:hAnsi="宋体"/>
              </w:rPr>
              <w:t>本项目要求所选购的设备和货物为近6个月内原厂制造的全新合格产品，有合法透明的来源渠道，整机无污染，无侵权行为、无表面划损、无任何缺陷隐患，完全符合国家相关产品质量验收标准和招标文件的技术要求（指对采购标的物的功能和质量要求，包括性能、材料、结构、外观、安全，或者服务内容和标准等），在中国境内可依常规安全合法使用。</w:t>
            </w:r>
          </w:p>
          <w:p w14:paraId="24BCEE76">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1.11</w:t>
            </w:r>
            <w:r>
              <w:rPr>
                <w:rFonts w:hint="eastAsia" w:ascii="宋体" w:hAnsi="宋体"/>
              </w:rPr>
              <w:t>包装标准为原厂制造商未启封全新包装，具出厂合格证，序列号、包装箱号与出厂批号一致，并可追索查阅。所有设备的附件证照必须齐全。</w:t>
            </w:r>
          </w:p>
          <w:p w14:paraId="63E5C4FB">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1.12</w:t>
            </w:r>
            <w:r>
              <w:rPr>
                <w:rFonts w:hint="eastAsia" w:ascii="宋体" w:hAnsi="宋体"/>
              </w:rPr>
              <w:t>部分中标货物如属于《计量法》规定的强检计量器具的或属于压力容器的，应在验收交付前提交当地法定专业检定部门出具的检定合格证书，检定费用由乙方负责。</w:t>
            </w:r>
          </w:p>
          <w:p w14:paraId="5013A67A">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2.安装调试</w:t>
            </w:r>
          </w:p>
          <w:p w14:paraId="5D857DCE">
            <w:pPr>
              <w:wordWrap w:val="0"/>
              <w:topLinePunct/>
              <w:adjustRightInd w:val="0"/>
              <w:snapToGrid w:val="0"/>
              <w:spacing w:line="360" w:lineRule="auto"/>
              <w:ind w:firstLine="420" w:firstLineChars="200"/>
              <w:rPr>
                <w:rFonts w:hint="eastAsia" w:ascii="宋体" w:hAnsi="宋体"/>
              </w:rPr>
            </w:pPr>
            <w:r>
              <w:rPr>
                <w:rFonts w:hint="eastAsia" w:ascii="宋体" w:hAnsi="宋体"/>
              </w:rPr>
              <w:t>2.1以符合采购文件要求和响应承诺的前提下，乙方将设备（系统）安装并调试至正常运行的最佳状态，经项目联合验收合格，且双方均认为合格。</w:t>
            </w:r>
          </w:p>
          <w:p w14:paraId="7C645010">
            <w:pPr>
              <w:wordWrap w:val="0"/>
              <w:topLinePunct/>
              <w:adjustRightInd w:val="0"/>
              <w:snapToGrid w:val="0"/>
              <w:spacing w:line="360" w:lineRule="auto"/>
              <w:ind w:firstLine="420" w:firstLineChars="200"/>
              <w:rPr>
                <w:rFonts w:hint="eastAsia" w:ascii="宋体" w:hAnsi="宋体"/>
              </w:rPr>
            </w:pPr>
            <w:r>
              <w:rPr>
                <w:rFonts w:hint="eastAsia" w:ascii="宋体" w:hAnsi="宋体"/>
              </w:rPr>
              <w:t>2.2乙方须派有经验的和具有持证上岗资格的技术人员到现场安装，经调试合格直到设备正常运行。</w:t>
            </w:r>
          </w:p>
          <w:p w14:paraId="14DDCBFA">
            <w:pPr>
              <w:wordWrap w:val="0"/>
              <w:topLinePunct/>
              <w:adjustRightInd w:val="0"/>
              <w:snapToGrid w:val="0"/>
              <w:spacing w:line="360" w:lineRule="auto"/>
              <w:ind w:firstLine="420" w:firstLineChars="200"/>
              <w:rPr>
                <w:rFonts w:hint="eastAsia" w:ascii="宋体" w:hAnsi="宋体"/>
              </w:rPr>
            </w:pPr>
            <w:r>
              <w:rPr>
                <w:rFonts w:hint="eastAsia" w:ascii="宋体" w:hAnsi="宋体"/>
              </w:rPr>
              <w:t>2.3在开始安装以前，所有设备必须提供产品技术说明书。</w:t>
            </w:r>
          </w:p>
          <w:p w14:paraId="5744F12D">
            <w:pPr>
              <w:wordWrap w:val="0"/>
              <w:topLinePunct/>
              <w:adjustRightInd w:val="0"/>
              <w:snapToGrid w:val="0"/>
              <w:spacing w:line="360" w:lineRule="auto"/>
              <w:ind w:firstLine="420" w:firstLineChars="200"/>
              <w:rPr>
                <w:rFonts w:hint="eastAsia" w:ascii="宋体" w:hAnsi="宋体"/>
              </w:rPr>
            </w:pPr>
            <w:r>
              <w:rPr>
                <w:rFonts w:hint="eastAsia" w:ascii="宋体" w:hAnsi="宋体"/>
              </w:rPr>
              <w:t>2.4乙方须提供全部调试过程中所需的特殊工具、润滑剂和易损件，并自带专用仪器仪表。</w:t>
            </w:r>
          </w:p>
          <w:p w14:paraId="2451B1B7">
            <w:pPr>
              <w:wordWrap w:val="0"/>
              <w:topLinePunct/>
              <w:adjustRightInd w:val="0"/>
              <w:snapToGrid w:val="0"/>
              <w:spacing w:line="360" w:lineRule="auto"/>
              <w:ind w:firstLine="420" w:firstLineChars="200"/>
              <w:rPr>
                <w:rFonts w:hint="eastAsia" w:ascii="宋体" w:hAnsi="宋体"/>
              </w:rPr>
            </w:pPr>
            <w:r>
              <w:rPr>
                <w:rFonts w:hint="eastAsia" w:ascii="宋体" w:hAnsi="宋体"/>
              </w:rPr>
              <w:t>2.5乙方须在现场对设备进行调试和试运行，以检验其设计制作操作性和功能等方面的情况。</w:t>
            </w:r>
          </w:p>
          <w:p w14:paraId="75DAE359">
            <w:pPr>
              <w:wordWrap w:val="0"/>
              <w:topLinePunct/>
              <w:adjustRightInd w:val="0"/>
              <w:snapToGrid w:val="0"/>
              <w:spacing w:line="360" w:lineRule="auto"/>
              <w:ind w:firstLine="420" w:firstLineChars="200"/>
              <w:rPr>
                <w:rFonts w:hint="eastAsia" w:ascii="宋体" w:hAnsi="宋体"/>
              </w:rPr>
            </w:pPr>
            <w:r>
              <w:rPr>
                <w:rFonts w:hint="eastAsia" w:ascii="宋体" w:hAnsi="宋体"/>
              </w:rPr>
              <w:t>2.6试运行须在甲方或监理单位的监督下进行，内容如下：</w:t>
            </w:r>
          </w:p>
          <w:p w14:paraId="39F1A856">
            <w:pPr>
              <w:wordWrap w:val="0"/>
              <w:topLinePunct/>
              <w:adjustRightInd w:val="0"/>
              <w:snapToGrid w:val="0"/>
              <w:spacing w:line="360" w:lineRule="auto"/>
              <w:ind w:firstLine="420" w:firstLineChars="200"/>
              <w:rPr>
                <w:rFonts w:hint="eastAsia" w:ascii="宋体" w:hAnsi="宋体"/>
              </w:rPr>
            </w:pPr>
            <w:r>
              <w:rPr>
                <w:rFonts w:hint="eastAsia" w:ascii="宋体" w:hAnsi="宋体"/>
              </w:rPr>
              <w:t>（1）进行设备的所有功能性运行。</w:t>
            </w:r>
          </w:p>
          <w:p w14:paraId="41B9E2E7">
            <w:pPr>
              <w:wordWrap w:val="0"/>
              <w:topLinePunct/>
              <w:adjustRightInd w:val="0"/>
              <w:snapToGrid w:val="0"/>
              <w:spacing w:line="360" w:lineRule="auto"/>
              <w:ind w:firstLine="420" w:firstLineChars="200"/>
              <w:rPr>
                <w:rFonts w:hint="eastAsia" w:ascii="宋体" w:hAnsi="宋体"/>
              </w:rPr>
            </w:pPr>
            <w:r>
              <w:rPr>
                <w:rFonts w:hint="eastAsia" w:ascii="宋体" w:hAnsi="宋体"/>
              </w:rPr>
              <w:t>（2）运行和检测安全设施。</w:t>
            </w:r>
          </w:p>
          <w:p w14:paraId="587F522C">
            <w:pPr>
              <w:wordWrap w:val="0"/>
              <w:topLinePunct/>
              <w:adjustRightInd w:val="0"/>
              <w:snapToGrid w:val="0"/>
              <w:spacing w:line="360" w:lineRule="auto"/>
              <w:ind w:firstLine="420" w:firstLineChars="200"/>
              <w:rPr>
                <w:rFonts w:hint="eastAsia" w:ascii="宋体" w:hAnsi="宋体"/>
              </w:rPr>
            </w:pPr>
            <w:r>
              <w:rPr>
                <w:rFonts w:hint="eastAsia" w:ascii="宋体" w:hAnsi="宋体"/>
              </w:rPr>
              <w:t>2.7项目实施前乙方须对冻库专项设备的安装现场进行复核，确认土建结构是否符合安装要求。</w:t>
            </w:r>
          </w:p>
          <w:p w14:paraId="7282A019">
            <w:pPr>
              <w:wordWrap w:val="0"/>
              <w:topLinePunct/>
              <w:adjustRightInd w:val="0"/>
              <w:snapToGrid w:val="0"/>
              <w:spacing w:line="360" w:lineRule="auto"/>
              <w:ind w:firstLine="420" w:firstLineChars="200"/>
              <w:rPr>
                <w:rFonts w:hint="eastAsia" w:ascii="宋体" w:hAnsi="宋体"/>
              </w:rPr>
            </w:pPr>
            <w:r>
              <w:rPr>
                <w:rFonts w:hint="eastAsia" w:ascii="宋体" w:hAnsi="宋体"/>
              </w:rPr>
              <w:t>2.8施工所用的机械工具、设备、材料由乙方自备，施工所用的材料及机械工具由甲方提供临时场所存放并由乙方施工队伍自行保管，不得随意存放，以免造成不必要的丢失、损坏。</w:t>
            </w:r>
          </w:p>
          <w:p w14:paraId="52CAC9F8">
            <w:pPr>
              <w:wordWrap w:val="0"/>
              <w:topLinePunct/>
              <w:adjustRightInd w:val="0"/>
              <w:snapToGrid w:val="0"/>
              <w:spacing w:line="360" w:lineRule="auto"/>
              <w:ind w:firstLine="420" w:firstLineChars="200"/>
              <w:rPr>
                <w:rFonts w:hint="eastAsia" w:ascii="宋体" w:hAnsi="宋体"/>
              </w:rPr>
            </w:pPr>
            <w:r>
              <w:rPr>
                <w:rFonts w:hint="eastAsia" w:ascii="宋体" w:hAnsi="宋体"/>
              </w:rPr>
              <w:t>2.9进入工作现场必须遵守现场的规章制度。乙方施工队伍要建立安全责任制，确保施工过程不出现人身安全事故、火灾事故和施工机械质量造成的停车设备损坏事故。否则，一切责任由乙方负责。</w:t>
            </w:r>
          </w:p>
          <w:p w14:paraId="7B56239D">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3.安装技术要求</w:t>
            </w:r>
          </w:p>
          <w:p w14:paraId="6AC05F19">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3.1</w:t>
            </w:r>
            <w:r>
              <w:rPr>
                <w:rFonts w:hint="eastAsia" w:ascii="宋体" w:hAnsi="宋体"/>
              </w:rPr>
              <w:t>乙方须根据技术规范要求，提供设备、装置附件、材料、备品备件、专用工具、技术资料、设备安装、检查、测试、调试、联动试车、调试运行等全部规定的工作。</w:t>
            </w:r>
          </w:p>
          <w:p w14:paraId="07C22153">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3.2</w:t>
            </w:r>
            <w:r>
              <w:rPr>
                <w:rFonts w:hint="eastAsia" w:ascii="宋体" w:hAnsi="宋体"/>
              </w:rPr>
              <w:t xml:space="preserve"> 乙方及设备制造商须关注设备制造、安装、运行中的安全问题，按照现行电气、安全、卫生标准规范要求，所有设备都须设置可靠接地点，绝对保证操作者使用安全。</w:t>
            </w:r>
          </w:p>
          <w:p w14:paraId="27EEC4B0">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3.3</w:t>
            </w:r>
            <w:r>
              <w:rPr>
                <w:rFonts w:hint="eastAsia" w:ascii="宋体" w:hAnsi="宋体"/>
              </w:rPr>
              <w:t>提交资料</w:t>
            </w:r>
          </w:p>
          <w:p w14:paraId="5282E096">
            <w:pPr>
              <w:wordWrap w:val="0"/>
              <w:topLinePunct/>
              <w:adjustRightInd w:val="0"/>
              <w:snapToGrid w:val="0"/>
              <w:spacing w:line="360" w:lineRule="auto"/>
              <w:ind w:firstLine="420" w:firstLineChars="200"/>
              <w:rPr>
                <w:rFonts w:hint="eastAsia" w:ascii="宋体" w:hAnsi="宋体"/>
              </w:rPr>
            </w:pPr>
            <w:r>
              <w:rPr>
                <w:rFonts w:hint="eastAsia" w:ascii="宋体" w:hAnsi="宋体"/>
              </w:rPr>
              <w:t>（1）技术资料</w:t>
            </w:r>
          </w:p>
          <w:p w14:paraId="4FB3FACB">
            <w:pPr>
              <w:wordWrap w:val="0"/>
              <w:topLinePunct/>
              <w:adjustRightInd w:val="0"/>
              <w:snapToGrid w:val="0"/>
              <w:spacing w:line="360" w:lineRule="auto"/>
              <w:ind w:firstLine="420" w:firstLineChars="200"/>
              <w:rPr>
                <w:rFonts w:hint="eastAsia" w:ascii="宋体" w:hAnsi="宋体"/>
              </w:rPr>
            </w:pPr>
            <w:r>
              <w:rPr>
                <w:rFonts w:hint="eastAsia" w:ascii="宋体" w:hAnsi="宋体"/>
              </w:rPr>
              <w:t>1）乙方须提供技术要求的相关证明材料，证明材料应清楚可查。</w:t>
            </w:r>
          </w:p>
          <w:p w14:paraId="108E068D">
            <w:pPr>
              <w:wordWrap w:val="0"/>
              <w:topLinePunct/>
              <w:adjustRightInd w:val="0"/>
              <w:snapToGrid w:val="0"/>
              <w:spacing w:line="360" w:lineRule="auto"/>
              <w:ind w:firstLine="420" w:firstLineChars="200"/>
              <w:rPr>
                <w:rFonts w:hint="eastAsia" w:ascii="宋体" w:hAnsi="宋体"/>
              </w:rPr>
            </w:pPr>
            <w:r>
              <w:rPr>
                <w:rFonts w:hint="eastAsia" w:ascii="宋体" w:hAnsi="宋体"/>
              </w:rPr>
              <w:t>2）乙方在所提供的技术文件中必须提供设备说明书、备品备件零件图、必要的设备图纸等技术资料。</w:t>
            </w:r>
          </w:p>
          <w:p w14:paraId="62D83C12">
            <w:pPr>
              <w:wordWrap w:val="0"/>
              <w:topLinePunct/>
              <w:adjustRightInd w:val="0"/>
              <w:snapToGrid w:val="0"/>
              <w:spacing w:line="360" w:lineRule="auto"/>
              <w:ind w:firstLine="420" w:firstLineChars="200"/>
              <w:rPr>
                <w:rFonts w:hint="eastAsia" w:ascii="宋体" w:hAnsi="宋体"/>
              </w:rPr>
            </w:pPr>
            <w:r>
              <w:rPr>
                <w:rFonts w:hint="eastAsia" w:ascii="宋体" w:hAnsi="宋体"/>
              </w:rPr>
              <w:t>（2）设计资料</w:t>
            </w:r>
          </w:p>
          <w:p w14:paraId="6E75CA39">
            <w:pPr>
              <w:wordWrap w:val="0"/>
              <w:topLinePunct/>
              <w:adjustRightInd w:val="0"/>
              <w:snapToGrid w:val="0"/>
              <w:spacing w:line="360" w:lineRule="auto"/>
              <w:ind w:firstLine="420" w:firstLineChars="200"/>
              <w:rPr>
                <w:rFonts w:hint="eastAsia" w:ascii="宋体" w:hAnsi="宋体"/>
              </w:rPr>
            </w:pPr>
            <w:r>
              <w:rPr>
                <w:rFonts w:hint="eastAsia" w:ascii="宋体" w:hAnsi="宋体"/>
              </w:rPr>
              <w:t>乙方须负责提供与供货设备相关的及供货界线内的所有必要资料，以便供甲方使用。包括：</w:t>
            </w:r>
          </w:p>
          <w:p w14:paraId="68AF91D4">
            <w:pPr>
              <w:wordWrap w:val="0"/>
              <w:topLinePunct/>
              <w:adjustRightInd w:val="0"/>
              <w:snapToGrid w:val="0"/>
              <w:spacing w:line="360" w:lineRule="auto"/>
              <w:ind w:firstLine="420" w:firstLineChars="200"/>
              <w:rPr>
                <w:rFonts w:hint="eastAsia" w:ascii="宋体" w:hAnsi="宋体"/>
              </w:rPr>
            </w:pPr>
            <w:r>
              <w:rPr>
                <w:rFonts w:hint="eastAsia" w:ascii="宋体" w:hAnsi="宋体"/>
              </w:rPr>
              <w:t>1）乙方供货范围内的设备图纸及设备说明书；</w:t>
            </w:r>
          </w:p>
          <w:p w14:paraId="6E2DBCF7">
            <w:pPr>
              <w:wordWrap w:val="0"/>
              <w:topLinePunct/>
              <w:adjustRightInd w:val="0"/>
              <w:snapToGrid w:val="0"/>
              <w:spacing w:line="360" w:lineRule="auto"/>
              <w:ind w:firstLine="420" w:firstLineChars="200"/>
              <w:rPr>
                <w:rFonts w:hint="eastAsia" w:ascii="宋体" w:hAnsi="宋体"/>
              </w:rPr>
            </w:pPr>
            <w:r>
              <w:rPr>
                <w:rFonts w:hint="eastAsia" w:ascii="宋体" w:hAnsi="宋体"/>
              </w:rPr>
              <w:t>2）交接界区内设备的工作图及安装图；</w:t>
            </w:r>
          </w:p>
          <w:p w14:paraId="0CD3048C">
            <w:pPr>
              <w:wordWrap w:val="0"/>
              <w:topLinePunct/>
              <w:adjustRightInd w:val="0"/>
              <w:snapToGrid w:val="0"/>
              <w:spacing w:line="360" w:lineRule="auto"/>
              <w:ind w:firstLine="420" w:firstLineChars="200"/>
              <w:rPr>
                <w:rFonts w:hint="eastAsia" w:ascii="宋体" w:hAnsi="宋体"/>
              </w:rPr>
            </w:pPr>
            <w:r>
              <w:rPr>
                <w:rFonts w:hint="eastAsia" w:ascii="宋体" w:hAnsi="宋体"/>
              </w:rPr>
              <w:t>3）设备基础布置详图等全部技术资料；</w:t>
            </w:r>
          </w:p>
          <w:p w14:paraId="3B948F7C">
            <w:pPr>
              <w:wordWrap w:val="0"/>
              <w:topLinePunct/>
              <w:adjustRightInd w:val="0"/>
              <w:snapToGrid w:val="0"/>
              <w:spacing w:line="360" w:lineRule="auto"/>
              <w:ind w:firstLine="420" w:firstLineChars="200"/>
              <w:rPr>
                <w:rFonts w:hint="eastAsia" w:ascii="宋体" w:hAnsi="宋体"/>
              </w:rPr>
            </w:pPr>
            <w:r>
              <w:rPr>
                <w:rFonts w:hint="eastAsia" w:ascii="宋体" w:hAnsi="宋体"/>
              </w:rPr>
              <w:t>4）设备安装图及设备的系统图、与土建有关的详图、精度要求。</w:t>
            </w:r>
          </w:p>
          <w:p w14:paraId="0C483169">
            <w:pPr>
              <w:wordWrap w:val="0"/>
              <w:topLinePunct/>
              <w:adjustRightInd w:val="0"/>
              <w:snapToGrid w:val="0"/>
              <w:spacing w:line="360" w:lineRule="auto"/>
              <w:ind w:firstLine="420" w:firstLineChars="200"/>
              <w:rPr>
                <w:rFonts w:hint="eastAsia" w:ascii="宋体" w:hAnsi="宋体"/>
              </w:rPr>
            </w:pPr>
            <w:r>
              <w:rPr>
                <w:rFonts w:hint="eastAsia" w:ascii="宋体" w:hAnsi="宋体"/>
              </w:rPr>
              <w:t>所有提供的施工图纸、资料在提交甲方之前，乙方必须就其精确性及与合同要求技术规范要求的一致性进行校核，并标注已校核标志。如无这类标志，甲方将不予以接收。所提供的图纸资料虽经甲方批准，但又发现有错误、偏差和漏项，乙方仍应负责将其更正。</w:t>
            </w:r>
          </w:p>
          <w:p w14:paraId="700B1B2B">
            <w:pPr>
              <w:wordWrap w:val="0"/>
              <w:topLinePunct/>
              <w:adjustRightInd w:val="0"/>
              <w:snapToGrid w:val="0"/>
              <w:spacing w:line="360" w:lineRule="auto"/>
              <w:ind w:firstLine="420" w:firstLineChars="200"/>
              <w:rPr>
                <w:rFonts w:hint="eastAsia" w:ascii="宋体" w:hAnsi="宋体"/>
              </w:rPr>
            </w:pPr>
            <w:r>
              <w:rPr>
                <w:rFonts w:hint="eastAsia" w:ascii="宋体" w:hAnsi="宋体"/>
              </w:rPr>
              <w:t>（3）设备安装运行维护手册</w:t>
            </w:r>
          </w:p>
          <w:p w14:paraId="5E4C94A4">
            <w:pPr>
              <w:wordWrap w:val="0"/>
              <w:topLinePunct/>
              <w:adjustRightInd w:val="0"/>
              <w:snapToGrid w:val="0"/>
              <w:spacing w:line="360" w:lineRule="auto"/>
              <w:ind w:firstLine="420" w:firstLineChars="200"/>
              <w:rPr>
                <w:rFonts w:hint="eastAsia" w:ascii="宋体" w:hAnsi="宋体"/>
              </w:rPr>
            </w:pPr>
            <w:r>
              <w:rPr>
                <w:rFonts w:hint="eastAsia" w:ascii="宋体" w:hAnsi="宋体"/>
              </w:rPr>
              <w:t>乙方在设备交货的同时应提供全套由制造厂签字的技术文件及所有设备的安装操作、维修手册。这些设备包括机械车位设备、其它附件等。</w:t>
            </w:r>
          </w:p>
          <w:p w14:paraId="09D1E929">
            <w:pPr>
              <w:wordWrap w:val="0"/>
              <w:topLinePunct/>
              <w:adjustRightInd w:val="0"/>
              <w:snapToGrid w:val="0"/>
              <w:spacing w:line="360" w:lineRule="auto"/>
              <w:ind w:firstLine="420" w:firstLineChars="200"/>
              <w:rPr>
                <w:rFonts w:hint="eastAsia" w:ascii="宋体" w:hAnsi="宋体"/>
              </w:rPr>
            </w:pPr>
            <w:r>
              <w:rPr>
                <w:rFonts w:hint="eastAsia" w:ascii="宋体" w:hAnsi="宋体"/>
              </w:rPr>
              <w:t>（4）运行保养维修手册内容要求</w:t>
            </w:r>
          </w:p>
          <w:p w14:paraId="47201DA6">
            <w:pPr>
              <w:wordWrap w:val="0"/>
              <w:topLinePunct/>
              <w:adjustRightInd w:val="0"/>
              <w:snapToGrid w:val="0"/>
              <w:spacing w:line="360" w:lineRule="auto"/>
              <w:ind w:firstLine="420" w:firstLineChars="200"/>
              <w:rPr>
                <w:rFonts w:hint="eastAsia" w:ascii="宋体" w:hAnsi="宋体"/>
              </w:rPr>
            </w:pPr>
            <w:r>
              <w:rPr>
                <w:rFonts w:hint="eastAsia" w:ascii="宋体" w:hAnsi="宋体"/>
              </w:rPr>
              <w:t>1）运行手册</w:t>
            </w:r>
          </w:p>
          <w:p w14:paraId="5830A358">
            <w:pPr>
              <w:wordWrap w:val="0"/>
              <w:topLinePunct/>
              <w:adjustRightInd w:val="0"/>
              <w:snapToGrid w:val="0"/>
              <w:spacing w:line="360" w:lineRule="auto"/>
              <w:ind w:firstLine="420" w:firstLineChars="200"/>
              <w:rPr>
                <w:rFonts w:hint="eastAsia" w:ascii="宋体" w:hAnsi="宋体"/>
              </w:rPr>
            </w:pPr>
            <w:r>
              <w:rPr>
                <w:rFonts w:hint="eastAsia" w:ascii="宋体" w:hAnsi="宋体"/>
              </w:rPr>
              <w:t>设备操作管理人员所用的运行手册，须包括下列各项内容，这些手册应能够作为培训的基础教材，但不限于这些内容：</w:t>
            </w:r>
          </w:p>
          <w:p w14:paraId="0BCA5B24">
            <w:pPr>
              <w:wordWrap w:val="0"/>
              <w:topLinePunct/>
              <w:adjustRightInd w:val="0"/>
              <w:snapToGrid w:val="0"/>
              <w:spacing w:line="360" w:lineRule="auto"/>
              <w:ind w:firstLine="420" w:firstLineChars="200"/>
              <w:rPr>
                <w:rFonts w:hint="eastAsia" w:ascii="宋体" w:hAnsi="宋体"/>
              </w:rPr>
            </w:pPr>
            <w:r>
              <w:rPr>
                <w:rFonts w:hint="eastAsia" w:ascii="宋体" w:hAnsi="宋体"/>
              </w:rPr>
              <w:t>a.操作步骤；</w:t>
            </w:r>
          </w:p>
          <w:p w14:paraId="7C5165E9">
            <w:pPr>
              <w:wordWrap w:val="0"/>
              <w:topLinePunct/>
              <w:adjustRightInd w:val="0"/>
              <w:snapToGrid w:val="0"/>
              <w:spacing w:line="360" w:lineRule="auto"/>
              <w:ind w:firstLine="420" w:firstLineChars="200"/>
              <w:rPr>
                <w:rFonts w:hint="eastAsia" w:ascii="宋体" w:hAnsi="宋体"/>
              </w:rPr>
            </w:pPr>
            <w:r>
              <w:rPr>
                <w:rFonts w:hint="eastAsia" w:ascii="宋体" w:hAnsi="宋体"/>
              </w:rPr>
              <w:t>b.在运行中应采取的安全操作须知；</w:t>
            </w:r>
          </w:p>
          <w:p w14:paraId="711E74DD">
            <w:pPr>
              <w:wordWrap w:val="0"/>
              <w:topLinePunct/>
              <w:adjustRightInd w:val="0"/>
              <w:snapToGrid w:val="0"/>
              <w:spacing w:line="360" w:lineRule="auto"/>
              <w:ind w:firstLine="420" w:firstLineChars="200"/>
              <w:rPr>
                <w:rFonts w:hint="eastAsia" w:ascii="宋体" w:hAnsi="宋体"/>
              </w:rPr>
            </w:pPr>
            <w:r>
              <w:rPr>
                <w:rFonts w:hint="eastAsia" w:ascii="宋体" w:hAnsi="宋体"/>
              </w:rPr>
              <w:t>c.基本保养常识；</w:t>
            </w:r>
          </w:p>
          <w:p w14:paraId="73D91672">
            <w:pPr>
              <w:wordWrap w:val="0"/>
              <w:topLinePunct/>
              <w:adjustRightInd w:val="0"/>
              <w:snapToGrid w:val="0"/>
              <w:spacing w:line="360" w:lineRule="auto"/>
              <w:ind w:firstLine="420" w:firstLineChars="200"/>
              <w:rPr>
                <w:rFonts w:hint="eastAsia" w:ascii="宋体" w:hAnsi="宋体"/>
              </w:rPr>
            </w:pPr>
            <w:r>
              <w:rPr>
                <w:rFonts w:hint="eastAsia" w:ascii="宋体" w:hAnsi="宋体"/>
              </w:rPr>
              <w:t>d.可能引起事故的原因及解除方法；</w:t>
            </w:r>
          </w:p>
          <w:p w14:paraId="05787A7E">
            <w:pPr>
              <w:wordWrap w:val="0"/>
              <w:topLinePunct/>
              <w:adjustRightInd w:val="0"/>
              <w:snapToGrid w:val="0"/>
              <w:spacing w:line="360" w:lineRule="auto"/>
              <w:ind w:firstLine="420" w:firstLineChars="200"/>
              <w:rPr>
                <w:rFonts w:hint="eastAsia" w:ascii="宋体" w:hAnsi="宋体"/>
              </w:rPr>
            </w:pPr>
            <w:r>
              <w:rPr>
                <w:rFonts w:hint="eastAsia" w:ascii="宋体" w:hAnsi="宋体"/>
              </w:rPr>
              <w:t>e.其它要求。</w:t>
            </w:r>
          </w:p>
          <w:p w14:paraId="7C1B8449">
            <w:pPr>
              <w:wordWrap w:val="0"/>
              <w:topLinePunct/>
              <w:adjustRightInd w:val="0"/>
              <w:snapToGrid w:val="0"/>
              <w:spacing w:line="360" w:lineRule="auto"/>
              <w:ind w:firstLine="420" w:firstLineChars="200"/>
              <w:rPr>
                <w:rFonts w:hint="eastAsia" w:ascii="宋体" w:hAnsi="宋体"/>
              </w:rPr>
            </w:pPr>
            <w:r>
              <w:rPr>
                <w:rFonts w:hint="eastAsia" w:ascii="宋体" w:hAnsi="宋体"/>
              </w:rPr>
              <w:t>2）保养手册</w:t>
            </w:r>
          </w:p>
          <w:p w14:paraId="54EB4A16">
            <w:pPr>
              <w:wordWrap w:val="0"/>
              <w:topLinePunct/>
              <w:adjustRightInd w:val="0"/>
              <w:snapToGrid w:val="0"/>
              <w:spacing w:line="360" w:lineRule="auto"/>
              <w:ind w:firstLine="420" w:firstLineChars="200"/>
              <w:rPr>
                <w:rFonts w:hint="eastAsia" w:ascii="宋体" w:hAnsi="宋体"/>
              </w:rPr>
            </w:pPr>
            <w:r>
              <w:rPr>
                <w:rFonts w:hint="eastAsia" w:ascii="宋体" w:hAnsi="宋体"/>
              </w:rPr>
              <w:t>a.日常维修、试验和更换部件的手续和步骤、时间；</w:t>
            </w:r>
          </w:p>
          <w:p w14:paraId="293D8ADB">
            <w:pPr>
              <w:wordWrap w:val="0"/>
              <w:topLinePunct/>
              <w:adjustRightInd w:val="0"/>
              <w:snapToGrid w:val="0"/>
              <w:spacing w:line="360" w:lineRule="auto"/>
              <w:ind w:firstLine="420" w:firstLineChars="200"/>
              <w:rPr>
                <w:rFonts w:hint="eastAsia" w:ascii="宋体" w:hAnsi="宋体"/>
              </w:rPr>
            </w:pPr>
            <w:r>
              <w:rPr>
                <w:rFonts w:hint="eastAsia" w:ascii="宋体" w:hAnsi="宋体"/>
              </w:rPr>
              <w:t>b.图示容易出事故地方，并提出补救措施，以便操作人员可以迅速寻找出事故的原因和消灭这些误动作和误接合；</w:t>
            </w:r>
          </w:p>
          <w:p w14:paraId="4C6022F8">
            <w:pPr>
              <w:wordWrap w:val="0"/>
              <w:topLinePunct/>
              <w:adjustRightInd w:val="0"/>
              <w:snapToGrid w:val="0"/>
              <w:spacing w:line="360" w:lineRule="auto"/>
              <w:ind w:firstLine="420" w:firstLineChars="200"/>
              <w:rPr>
                <w:rFonts w:hint="eastAsia" w:ascii="宋体" w:hAnsi="宋体"/>
              </w:rPr>
            </w:pPr>
            <w:r>
              <w:rPr>
                <w:rFonts w:hint="eastAsia" w:ascii="宋体" w:hAnsi="宋体"/>
              </w:rPr>
              <w:t>c. 提供一份完整的制造商和供货商的名称表，它应包括他们的地址、电话号码、传真号码、邮政编码以及在中国的代理商；</w:t>
            </w:r>
          </w:p>
          <w:p w14:paraId="1BA7A9C7">
            <w:pPr>
              <w:wordWrap w:val="0"/>
              <w:topLinePunct/>
              <w:adjustRightInd w:val="0"/>
              <w:snapToGrid w:val="0"/>
              <w:spacing w:line="360" w:lineRule="auto"/>
              <w:ind w:firstLine="420" w:firstLineChars="200"/>
              <w:rPr>
                <w:rFonts w:hint="eastAsia" w:ascii="宋体" w:hAnsi="宋体"/>
              </w:rPr>
            </w:pPr>
            <w:r>
              <w:rPr>
                <w:rFonts w:hint="eastAsia" w:ascii="宋体" w:hAnsi="宋体"/>
              </w:rPr>
              <w:t>d.提供一份完整的制造商提供的设备操作维修的指导事项表，按制造商名字序列排列，并用设备件号、型号、图号和文字相配。</w:t>
            </w:r>
          </w:p>
          <w:p w14:paraId="5031704A">
            <w:pPr>
              <w:wordWrap w:val="0"/>
              <w:topLinePunct/>
              <w:adjustRightInd w:val="0"/>
              <w:snapToGrid w:val="0"/>
              <w:spacing w:line="360" w:lineRule="auto"/>
              <w:ind w:firstLine="422" w:firstLineChars="200"/>
              <w:rPr>
                <w:rFonts w:hint="eastAsia" w:ascii="宋体" w:hAnsi="宋体"/>
              </w:rPr>
            </w:pPr>
            <w:r>
              <w:rPr>
                <w:rFonts w:hint="eastAsia" w:ascii="宋体" w:hAnsi="宋体"/>
                <w:b/>
                <w:bCs/>
              </w:rPr>
              <w:t>3.4</w:t>
            </w:r>
            <w:r>
              <w:rPr>
                <w:rFonts w:hint="eastAsia" w:ascii="宋体" w:hAnsi="宋体"/>
              </w:rPr>
              <w:t>专利</w:t>
            </w:r>
          </w:p>
          <w:p w14:paraId="7F4A5E12">
            <w:pPr>
              <w:wordWrap w:val="0"/>
              <w:topLinePunct/>
              <w:adjustRightInd w:val="0"/>
              <w:snapToGrid w:val="0"/>
              <w:spacing w:line="360" w:lineRule="auto"/>
              <w:ind w:firstLine="420" w:firstLineChars="200"/>
            </w:pPr>
            <w:r>
              <w:rPr>
                <w:rFonts w:hint="eastAsia" w:ascii="宋体" w:hAnsi="宋体"/>
              </w:rPr>
              <w:t>乙方须对合同规定的设备和工艺方面的一切专利费和知识产权费承担责任，并且确保甲方不受任何损害。一切由专利费、文字和知识产权侵权的申诉，或者由使用设备和工艺结构特征、元件的排列所引起的法律裁决、诉讼和费用与甲方无关。本合同所规定的付款，已包括了专利费、执照费和其它这方面的费用。</w:t>
            </w:r>
          </w:p>
        </w:tc>
      </w:tr>
      <w:tr w14:paraId="61857605">
        <w:tblPrEx>
          <w:tblCellMar>
            <w:top w:w="0" w:type="dxa"/>
            <w:left w:w="108" w:type="dxa"/>
            <w:bottom w:w="0" w:type="dxa"/>
            <w:right w:w="108" w:type="dxa"/>
          </w:tblCellMar>
        </w:tblPrEx>
        <w:tc>
          <w:tcPr>
            <w:tcW w:w="1699" w:type="dxa"/>
            <w:tcBorders>
              <w:top w:val="single" w:color="auto" w:sz="2" w:space="0"/>
              <w:left w:val="single" w:color="auto" w:sz="2" w:space="0"/>
              <w:bottom w:val="single" w:color="auto" w:sz="2" w:space="0"/>
              <w:right w:val="single" w:color="auto" w:sz="2" w:space="0"/>
            </w:tcBorders>
          </w:tcPr>
          <w:p w14:paraId="0570D1A6">
            <w:pPr>
              <w:jc w:val="center"/>
            </w:pPr>
            <w:r>
              <w:rPr>
                <w:rFonts w:ascii="宋体" w:hAnsi="宋体"/>
              </w:rPr>
              <w:t>履约保证金</w:t>
            </w:r>
          </w:p>
        </w:tc>
        <w:tc>
          <w:tcPr>
            <w:tcW w:w="6631" w:type="dxa"/>
            <w:tcBorders>
              <w:top w:val="single" w:color="auto" w:sz="2" w:space="0"/>
              <w:left w:val="nil"/>
              <w:bottom w:val="single" w:color="auto" w:sz="2" w:space="0"/>
              <w:right w:val="single" w:color="auto" w:sz="2" w:space="0"/>
            </w:tcBorders>
          </w:tcPr>
          <w:p w14:paraId="028D03CC">
            <w:r>
              <w:rPr>
                <w:rFonts w:ascii="宋体" w:hAnsi="宋体"/>
              </w:rPr>
              <w:t>本项目不收取相关履约保证金</w:t>
            </w:r>
            <w:r>
              <w:rPr>
                <w:rFonts w:hint="eastAsia" w:ascii="宋体" w:hAnsi="宋体"/>
              </w:rPr>
              <w:t>。</w:t>
            </w:r>
          </w:p>
        </w:tc>
      </w:tr>
      <w:tr w14:paraId="72F62FEB">
        <w:tblPrEx>
          <w:tblCellMar>
            <w:top w:w="0" w:type="dxa"/>
            <w:left w:w="108" w:type="dxa"/>
            <w:bottom w:w="0" w:type="dxa"/>
            <w:right w:w="108" w:type="dxa"/>
          </w:tblCellMar>
        </w:tblPrEx>
        <w:tc>
          <w:tcPr>
            <w:tcW w:w="1699" w:type="dxa"/>
            <w:tcBorders>
              <w:top w:val="single" w:color="auto" w:sz="2" w:space="0"/>
              <w:left w:val="single" w:color="auto" w:sz="2" w:space="0"/>
              <w:bottom w:val="single" w:color="auto" w:sz="2" w:space="0"/>
              <w:right w:val="single" w:color="auto" w:sz="2" w:space="0"/>
            </w:tcBorders>
          </w:tcPr>
          <w:p w14:paraId="352545B7">
            <w:pPr>
              <w:autoSpaceDE w:val="0"/>
              <w:autoSpaceDN w:val="0"/>
              <w:adjustRightInd w:val="0"/>
              <w:jc w:val="left"/>
              <w:rPr>
                <w:rFonts w:ascii="宋体"/>
                <w:kern w:val="0"/>
              </w:rPr>
            </w:pPr>
          </w:p>
          <w:p w14:paraId="711667CE">
            <w:pPr>
              <w:autoSpaceDE w:val="0"/>
              <w:autoSpaceDN w:val="0"/>
              <w:adjustRightInd w:val="0"/>
              <w:jc w:val="left"/>
              <w:rPr>
                <w:rFonts w:hint="eastAsia" w:ascii="宋体"/>
                <w:kern w:val="0"/>
              </w:rPr>
            </w:pPr>
          </w:p>
          <w:p w14:paraId="5F2C2530">
            <w:pPr>
              <w:autoSpaceDE w:val="0"/>
              <w:autoSpaceDN w:val="0"/>
              <w:adjustRightInd w:val="0"/>
              <w:jc w:val="left"/>
              <w:rPr>
                <w:rFonts w:hint="eastAsia" w:ascii="宋体"/>
                <w:kern w:val="0"/>
              </w:rPr>
            </w:pPr>
          </w:p>
          <w:p w14:paraId="055E3EAE">
            <w:pPr>
              <w:autoSpaceDE w:val="0"/>
              <w:autoSpaceDN w:val="0"/>
              <w:adjustRightInd w:val="0"/>
              <w:jc w:val="left"/>
              <w:rPr>
                <w:rFonts w:hint="eastAsia" w:ascii="宋体"/>
                <w:kern w:val="0"/>
              </w:rPr>
            </w:pPr>
          </w:p>
          <w:p w14:paraId="682BF4FD">
            <w:pPr>
              <w:autoSpaceDE w:val="0"/>
              <w:autoSpaceDN w:val="0"/>
              <w:adjustRightInd w:val="0"/>
              <w:jc w:val="left"/>
              <w:rPr>
                <w:rFonts w:hint="eastAsia" w:ascii="宋体"/>
                <w:kern w:val="0"/>
              </w:rPr>
            </w:pPr>
          </w:p>
          <w:p w14:paraId="6CB2E273">
            <w:pPr>
              <w:autoSpaceDE w:val="0"/>
              <w:autoSpaceDN w:val="0"/>
              <w:adjustRightInd w:val="0"/>
              <w:jc w:val="left"/>
              <w:rPr>
                <w:rFonts w:hint="eastAsia" w:ascii="宋体"/>
                <w:kern w:val="0"/>
              </w:rPr>
            </w:pPr>
            <w:r>
              <w:rPr>
                <w:rFonts w:hint="eastAsia" w:ascii="宋体" w:hAnsi="宋体"/>
                <w:kern w:val="0"/>
              </w:rPr>
              <w:t>关于采购节能产品、环境标志产品相关政策的要求</w:t>
            </w:r>
          </w:p>
          <w:p w14:paraId="22594926">
            <w:pPr>
              <w:jc w:val="center"/>
            </w:pPr>
          </w:p>
        </w:tc>
        <w:tc>
          <w:tcPr>
            <w:tcW w:w="6631" w:type="dxa"/>
            <w:tcBorders>
              <w:top w:val="single" w:color="auto" w:sz="2" w:space="0"/>
              <w:left w:val="nil"/>
              <w:bottom w:val="single" w:color="auto" w:sz="2" w:space="0"/>
              <w:right w:val="single" w:color="auto" w:sz="2" w:space="0"/>
            </w:tcBorders>
          </w:tcPr>
          <w:p w14:paraId="67282F9C">
            <w:pPr>
              <w:autoSpaceDE w:val="0"/>
              <w:autoSpaceDN w:val="0"/>
              <w:adjustRightInd w:val="0"/>
              <w:jc w:val="left"/>
              <w:rPr>
                <w:rFonts w:ascii="宋体"/>
                <w:kern w:val="0"/>
              </w:rPr>
            </w:pPr>
            <w:r>
              <w:rPr>
                <w:rFonts w:hint="eastAsia" w:ascii="宋体" w:hAnsi="宋体"/>
                <w:kern w:val="0"/>
              </w:rPr>
              <w:t>（1）根据《财政部发展改革委生态环境部市场监管总局关于调整优化节能产品环境标志产品政府采购执行机制的通</w:t>
            </w:r>
          </w:p>
          <w:p w14:paraId="4EC3C5ED">
            <w:pPr>
              <w:autoSpaceDE w:val="0"/>
              <w:autoSpaceDN w:val="0"/>
              <w:adjustRightInd w:val="0"/>
              <w:jc w:val="left"/>
              <w:rPr>
                <w:rFonts w:hint="eastAsia" w:ascii="宋体"/>
                <w:kern w:val="0"/>
              </w:rPr>
            </w:pPr>
            <w:r>
              <w:rPr>
                <w:rFonts w:hint="eastAsia" w:ascii="宋体" w:hAnsi="宋体"/>
                <w:kern w:val="0"/>
              </w:rPr>
              <w:t>知》（财库〔</w:t>
            </w:r>
            <w:r>
              <w:rPr>
                <w:rFonts w:hint="eastAsia" w:ascii="宋体"/>
                <w:kern w:val="0"/>
              </w:rPr>
              <w:t>2019</w:t>
            </w:r>
            <w:r>
              <w:rPr>
                <w:rFonts w:hint="eastAsia" w:ascii="宋体" w:hAnsi="宋体"/>
                <w:kern w:val="0"/>
              </w:rPr>
              <w:t>〕</w:t>
            </w:r>
            <w:r>
              <w:rPr>
                <w:rFonts w:hint="eastAsia" w:ascii="宋体"/>
                <w:kern w:val="0"/>
              </w:rPr>
              <w:t xml:space="preserve">9 </w:t>
            </w:r>
            <w:r>
              <w:rPr>
                <w:rFonts w:hint="eastAsia" w:ascii="宋体" w:hAnsi="宋体"/>
                <w:kern w:val="0"/>
              </w:rPr>
              <w:t>号）的规定，若投标产品属于“关于印发节能产品政府采购品目清单的通知财库（〔</w:t>
            </w:r>
            <w:r>
              <w:rPr>
                <w:rFonts w:hint="eastAsia" w:ascii="宋体"/>
                <w:kern w:val="0"/>
              </w:rPr>
              <w:t>2019</w:t>
            </w:r>
            <w:r>
              <w:rPr>
                <w:rFonts w:hint="eastAsia" w:ascii="宋体" w:hAnsi="宋体"/>
                <w:kern w:val="0"/>
              </w:rPr>
              <w:t>〕</w:t>
            </w:r>
            <w:r>
              <w:rPr>
                <w:rFonts w:hint="eastAsia" w:ascii="宋体"/>
                <w:kern w:val="0"/>
              </w:rPr>
              <w:t xml:space="preserve">19 </w:t>
            </w:r>
            <w:r>
              <w:rPr>
                <w:rFonts w:hint="eastAsia" w:ascii="宋体" w:hAnsi="宋体"/>
                <w:kern w:val="0"/>
              </w:rPr>
              <w:t>号）”中强制采购的节能产品，实行强制采购；若投标产品属于“节能产品政府采购品目清单”中优先采购的节能产品，在技术、服务等指标满足采购需求的前提下，实行优先采购。投标人须提供有效期内的中国节能产品认证证书复印件加盖投标人公章。</w:t>
            </w:r>
          </w:p>
          <w:p w14:paraId="08569346">
            <w:pPr>
              <w:autoSpaceDE w:val="0"/>
              <w:autoSpaceDN w:val="0"/>
              <w:adjustRightInd w:val="0"/>
              <w:jc w:val="left"/>
              <w:rPr>
                <w:rFonts w:hint="eastAsia" w:ascii="宋体"/>
                <w:kern w:val="0"/>
              </w:rPr>
            </w:pPr>
            <w:r>
              <w:rPr>
                <w:rFonts w:hint="eastAsia" w:ascii="宋体" w:hAnsi="宋体"/>
                <w:kern w:val="0"/>
              </w:rPr>
              <w:t>（2）为发挥政府采购的环境保护政策功能，根据《财政部发展改革委生态环境部市场监管总局关于调整优化节能产品环境标志产品政府采购执行机制的通知》（财库〔</w:t>
            </w:r>
            <w:r>
              <w:rPr>
                <w:rFonts w:hint="eastAsia" w:ascii="宋体"/>
                <w:kern w:val="0"/>
              </w:rPr>
              <w:t>2019</w:t>
            </w:r>
            <w:r>
              <w:rPr>
                <w:rFonts w:hint="eastAsia" w:ascii="宋体" w:hAnsi="宋体"/>
                <w:kern w:val="0"/>
              </w:rPr>
              <w:t>〕</w:t>
            </w:r>
            <w:r>
              <w:rPr>
                <w:rFonts w:hint="eastAsia" w:ascii="宋体"/>
                <w:kern w:val="0"/>
              </w:rPr>
              <w:t xml:space="preserve">9 </w:t>
            </w:r>
            <w:r>
              <w:rPr>
                <w:rFonts w:hint="eastAsia" w:ascii="宋体" w:hAnsi="宋体"/>
                <w:kern w:val="0"/>
              </w:rPr>
              <w:t>号）的规定，若投标产品属于“环境标志产品政府采购品目清单”中的产品，在性能、技术、服务等指标同等条件下，应当优先采购清单中的产品。投标人须提供有效期内的中国环境标志产品认证证书复印件加盖投标人公章。</w:t>
            </w:r>
          </w:p>
          <w:p w14:paraId="5FDCA187">
            <w:pPr>
              <w:autoSpaceDE w:val="0"/>
              <w:autoSpaceDN w:val="0"/>
              <w:adjustRightInd w:val="0"/>
              <w:jc w:val="left"/>
              <w:rPr>
                <w:rFonts w:ascii="宋体"/>
                <w:kern w:val="0"/>
              </w:rPr>
            </w:pPr>
            <w:r>
              <w:rPr>
                <w:rFonts w:hint="eastAsia" w:ascii="宋体" w:hAnsi="宋体"/>
                <w:kern w:val="0"/>
                <w:highlight w:val="none"/>
              </w:rPr>
              <w:t>（3）本项目所采购的冷干机建议使用环保无氟制冷剂、具备节能变频、低噪运行、自动除霜功能，其能效比必须达到或高于2级能效标准。</w:t>
            </w:r>
          </w:p>
        </w:tc>
      </w:tr>
      <w:tr w14:paraId="241775B8">
        <w:tblPrEx>
          <w:tblCellMar>
            <w:top w:w="0" w:type="dxa"/>
            <w:left w:w="108" w:type="dxa"/>
            <w:bottom w:w="0" w:type="dxa"/>
            <w:right w:w="108" w:type="dxa"/>
          </w:tblCellMar>
        </w:tblPrEx>
        <w:tc>
          <w:tcPr>
            <w:tcW w:w="1699" w:type="dxa"/>
            <w:tcBorders>
              <w:top w:val="single" w:color="auto" w:sz="2" w:space="0"/>
              <w:left w:val="single" w:color="auto" w:sz="2" w:space="0"/>
              <w:bottom w:val="single" w:color="auto" w:sz="2" w:space="0"/>
              <w:right w:val="single" w:color="auto" w:sz="2" w:space="0"/>
            </w:tcBorders>
          </w:tcPr>
          <w:p w14:paraId="6C7E30C6"/>
          <w:p w14:paraId="7542F6E0">
            <w:pPr>
              <w:rPr>
                <w:rFonts w:hint="eastAsia"/>
              </w:rPr>
            </w:pPr>
          </w:p>
          <w:p w14:paraId="2E394949">
            <w:pPr>
              <w:rPr>
                <w:rFonts w:hint="eastAsia"/>
              </w:rPr>
            </w:pPr>
          </w:p>
          <w:p w14:paraId="58BDA9A9">
            <w:pPr>
              <w:rPr>
                <w:rFonts w:hint="eastAsia"/>
              </w:rPr>
            </w:pPr>
          </w:p>
          <w:p w14:paraId="56082491">
            <w:pPr>
              <w:rPr>
                <w:rFonts w:hint="eastAsia"/>
              </w:rPr>
            </w:pPr>
          </w:p>
          <w:p w14:paraId="571F4D0F">
            <w:pPr>
              <w:rPr>
                <w:rFonts w:hint="eastAsia"/>
              </w:rPr>
            </w:pPr>
          </w:p>
          <w:p w14:paraId="4DEBACC1">
            <w:pPr>
              <w:jc w:val="center"/>
            </w:pPr>
            <w:r>
              <w:rPr>
                <w:rFonts w:ascii="宋体" w:hAnsi="宋体"/>
              </w:rPr>
              <w:t>其他商务要求</w:t>
            </w:r>
          </w:p>
        </w:tc>
        <w:tc>
          <w:tcPr>
            <w:tcW w:w="6631" w:type="dxa"/>
            <w:tcBorders>
              <w:top w:val="single" w:color="auto" w:sz="2" w:space="0"/>
              <w:left w:val="nil"/>
              <w:bottom w:val="single" w:color="auto" w:sz="2" w:space="0"/>
              <w:right w:val="single" w:color="auto" w:sz="2" w:space="0"/>
            </w:tcBorders>
          </w:tcPr>
          <w:p w14:paraId="2BED7CC0">
            <w:r>
              <w:rPr>
                <w:rFonts w:hint="eastAsia" w:ascii="宋体" w:hAnsi="宋体"/>
              </w:rPr>
              <w:t>★</w:t>
            </w:r>
            <w:r>
              <w:t>1</w:t>
            </w:r>
            <w:r>
              <w:rPr>
                <w:rFonts w:hint="eastAsia" w:ascii="宋体" w:hAnsi="宋体"/>
              </w:rPr>
              <w:t>、报价要求</w:t>
            </w:r>
            <w:r>
              <w:rPr>
                <w:rFonts w:cs="Calibri"/>
              </w:rPr>
              <w:t>:</w:t>
            </w:r>
            <w:r>
              <w:rPr>
                <w:rFonts w:hint="eastAsia" w:ascii="宋体" w:hAnsi="宋体"/>
              </w:rPr>
              <w:t>投标报价以人民币报价，为工地现场的交货价。货物总价内包含但不限于的相关费用：原材料和配件费、深化设计、生产加工、安装、调试，通过有关主管部门的验收，运至合同指定地点的包装、运输、装卸、安装，技术培训，检查、检验，及保修、利润、风险金、拆除原有设备费、国家规定的各项税费等可见或不可预见的费用等。</w:t>
            </w:r>
          </w:p>
          <w:p w14:paraId="39CE3AC2">
            <w:r>
              <w:rPr>
                <w:rFonts w:hint="eastAsia" w:ascii="宋体" w:hAnsi="宋体"/>
              </w:rPr>
              <w:t>★</w:t>
            </w:r>
            <w:r>
              <w:t>2</w:t>
            </w:r>
            <w:r>
              <w:rPr>
                <w:rFonts w:hint="eastAsia" w:ascii="宋体" w:hAnsi="宋体"/>
              </w:rPr>
              <w:t>、包装及运输要求</w:t>
            </w:r>
            <w:r>
              <w:rPr>
                <w:rFonts w:cs="Calibri"/>
              </w:rPr>
              <w:t>:</w:t>
            </w:r>
            <w:r>
              <w:rPr>
                <w:rFonts w:hint="eastAsia" w:ascii="宋体" w:hAnsi="宋体"/>
              </w:rPr>
              <w:t>本次采购的设备和材料必须是全新的（生产日期在半年以内的产品），所有设备运输到达施工场地时的包装必须是原厂完整的。</w:t>
            </w:r>
          </w:p>
          <w:p w14:paraId="318F487A">
            <w:pPr>
              <w:rPr>
                <w:rFonts w:cs="Calibri"/>
              </w:rPr>
            </w:pPr>
            <w:r>
              <w:t>3</w:t>
            </w:r>
            <w:r>
              <w:rPr>
                <w:rFonts w:hint="eastAsia" w:ascii="宋体" w:hAnsi="宋体"/>
              </w:rPr>
              <w:t>、售后服务要求</w:t>
            </w:r>
            <w:r>
              <w:rPr>
                <w:rFonts w:cs="Calibri"/>
              </w:rPr>
              <w:t>:</w:t>
            </w:r>
          </w:p>
          <w:p w14:paraId="5934253A">
            <w:pPr>
              <w:rPr>
                <w:rFonts w:hint="eastAsia" w:ascii="宋体" w:hAnsi="宋体"/>
              </w:rPr>
            </w:pPr>
            <w:r>
              <w:rPr>
                <w:rFonts w:hint="eastAsia" w:ascii="宋体" w:hAnsi="宋体"/>
              </w:rPr>
              <w:t>（</w:t>
            </w:r>
            <w:r>
              <w:rPr>
                <w:rFonts w:cs="Calibri"/>
              </w:rPr>
              <w:t>1</w:t>
            </w:r>
            <w:r>
              <w:rPr>
                <w:rFonts w:hint="eastAsia" w:ascii="宋体" w:hAnsi="宋体"/>
              </w:rPr>
              <w:t>）免费质保期</w:t>
            </w:r>
            <w:r>
              <w:rPr>
                <w:rFonts w:hint="eastAsia" w:cs="Calibri"/>
              </w:rPr>
              <w:t>2</w:t>
            </w:r>
            <w:r>
              <w:rPr>
                <w:rFonts w:hint="eastAsia" w:ascii="宋体" w:hAnsi="宋体"/>
              </w:rPr>
              <w:t xml:space="preserve">年。 </w:t>
            </w:r>
          </w:p>
          <w:p w14:paraId="0A0FB8DE">
            <w:pPr>
              <w:rPr>
                <w:rFonts w:hint="eastAsia" w:ascii="宋体" w:hAnsi="宋体"/>
              </w:rPr>
            </w:pPr>
            <w:r>
              <w:rPr>
                <w:rFonts w:hint="eastAsia" w:ascii="宋体" w:hAnsi="宋体"/>
              </w:rPr>
              <w:t>（</w:t>
            </w:r>
            <w:r>
              <w:rPr>
                <w:rFonts w:cs="Calibri"/>
              </w:rPr>
              <w:t>2</w:t>
            </w:r>
            <w:r>
              <w:rPr>
                <w:rFonts w:hint="eastAsia" w:ascii="宋体" w:hAnsi="宋体"/>
              </w:rPr>
              <w:t>）收到采购人的故障报修通知后即时做出实质性反应，维修人员</w:t>
            </w:r>
            <w:r>
              <w:rPr>
                <w:rFonts w:cs="Calibri"/>
              </w:rPr>
              <w:t>3</w:t>
            </w:r>
            <w:r>
              <w:rPr>
                <w:rFonts w:hint="eastAsia" w:ascii="宋体" w:hAnsi="宋体"/>
              </w:rPr>
              <w:t>小时内到达现场，</w:t>
            </w:r>
            <w:r>
              <w:rPr>
                <w:rFonts w:cs="Calibri"/>
              </w:rPr>
              <w:t>24</w:t>
            </w:r>
            <w:r>
              <w:rPr>
                <w:rFonts w:hint="eastAsia" w:ascii="宋体" w:hAnsi="宋体"/>
              </w:rPr>
              <w:t xml:space="preserve">小时内完成维修，否则需提供紧急解决方案或备用设备使用。 </w:t>
            </w:r>
          </w:p>
          <w:p w14:paraId="79B879C8">
            <w:pPr>
              <w:rPr>
                <w:rFonts w:hint="eastAsia" w:ascii="宋体" w:hAnsi="宋体"/>
              </w:rPr>
            </w:pPr>
            <w:r>
              <w:rPr>
                <w:rFonts w:hint="eastAsia" w:ascii="宋体" w:hAnsi="宋体"/>
              </w:rPr>
              <w:t>（</w:t>
            </w:r>
            <w:r>
              <w:rPr>
                <w:rFonts w:cs="Calibri"/>
              </w:rPr>
              <w:t>3</w:t>
            </w:r>
            <w:r>
              <w:rPr>
                <w:rFonts w:hint="eastAsia" w:ascii="宋体" w:hAnsi="宋体"/>
              </w:rPr>
              <w:t>）提供包括产品说明书在内的完整设备资料，负责对用户方员工的培训，保证所提供的设备被正确使用。</w:t>
            </w:r>
          </w:p>
          <w:p w14:paraId="54BEB486">
            <w:pPr>
              <w:rPr>
                <w:rFonts w:hint="eastAsia" w:ascii="宋体" w:hAnsi="宋体"/>
              </w:rPr>
            </w:pPr>
            <w:r>
              <w:rPr>
                <w:rFonts w:hint="eastAsia" w:ascii="宋体" w:hAnsi="宋体"/>
              </w:rPr>
              <w:t>（</w:t>
            </w:r>
            <w:r>
              <w:rPr>
                <w:rFonts w:cs="Calibri"/>
              </w:rPr>
              <w:t>4</w:t>
            </w:r>
            <w:r>
              <w:rPr>
                <w:rFonts w:hint="eastAsia" w:ascii="宋体" w:hAnsi="宋体"/>
              </w:rPr>
              <w:t>）质保期内供货商需与采购人约好，每季度免费做</w:t>
            </w:r>
            <w:r>
              <w:rPr>
                <w:rFonts w:cs="Calibri"/>
              </w:rPr>
              <w:t>1</w:t>
            </w:r>
            <w:r>
              <w:rPr>
                <w:rFonts w:hint="eastAsia" w:ascii="宋体" w:hAnsi="宋体"/>
              </w:rPr>
              <w:t xml:space="preserve">次设备的维护保养，质保期满后，双方签订可以维保合同，服务要求与招标要求相同。冻库维保数据校准内容包括库温精度校准；设备保养内容包括制冷系统维护，自动化设备运动机构维护，软件维护等。   </w:t>
            </w:r>
          </w:p>
          <w:p w14:paraId="68FD561E">
            <w:pPr>
              <w:rPr>
                <w:rFonts w:hint="eastAsia" w:cs="Calibri"/>
              </w:rPr>
            </w:pPr>
            <w:r>
              <w:t>4</w:t>
            </w:r>
            <w:r>
              <w:rPr>
                <w:rFonts w:hint="eastAsia" w:ascii="宋体" w:hAnsi="宋体"/>
              </w:rPr>
              <w:t>、其他要求</w:t>
            </w:r>
            <w:r>
              <w:rPr>
                <w:rFonts w:cs="Calibri"/>
              </w:rPr>
              <w:t>:</w:t>
            </w:r>
          </w:p>
          <w:p w14:paraId="0C6B8FAD">
            <w:pPr>
              <w:rPr>
                <w:rFonts w:hint="eastAsia" w:ascii="宋体" w:hAnsi="宋体"/>
              </w:rPr>
            </w:pPr>
            <w:r>
              <w:rPr>
                <w:rFonts w:hint="eastAsia" w:ascii="宋体" w:hAnsi="宋体"/>
              </w:rPr>
              <w:t>（</w:t>
            </w:r>
            <w:r>
              <w:rPr>
                <w:rFonts w:cs="Calibri"/>
              </w:rPr>
              <w:t>1</w:t>
            </w:r>
            <w:r>
              <w:rPr>
                <w:rFonts w:hint="eastAsia" w:ascii="宋体" w:hAnsi="宋体"/>
              </w:rPr>
              <w:t>）中标人负责安装所有投标设备。</w:t>
            </w:r>
          </w:p>
          <w:p w14:paraId="5A08D318">
            <w:pPr>
              <w:rPr>
                <w:rFonts w:hint="eastAsia" w:ascii="宋体" w:hAnsi="宋体"/>
              </w:rPr>
            </w:pPr>
            <w:r>
              <w:rPr>
                <w:rFonts w:hint="eastAsia" w:ascii="宋体" w:hAnsi="宋体"/>
              </w:rPr>
              <w:t xml:space="preserve"> ★（</w:t>
            </w:r>
            <w:r>
              <w:rPr>
                <w:rFonts w:cs="Calibri"/>
              </w:rPr>
              <w:t>2</w:t>
            </w:r>
            <w:r>
              <w:rPr>
                <w:rFonts w:hint="eastAsia" w:ascii="宋体" w:hAnsi="宋体"/>
              </w:rPr>
              <w:t xml:space="preserve">）中标人负责所有与投标设备安装，确保采购设备的正常运行。 </w:t>
            </w:r>
          </w:p>
          <w:p w14:paraId="04793ADD">
            <w:pPr>
              <w:rPr>
                <w:rFonts w:hint="eastAsia" w:ascii="宋体" w:hAnsi="宋体"/>
              </w:rPr>
            </w:pPr>
            <w:r>
              <w:rPr>
                <w:rFonts w:hint="eastAsia" w:ascii="宋体" w:hAnsi="宋体"/>
              </w:rPr>
              <w:t>（</w:t>
            </w:r>
            <w:r>
              <w:rPr>
                <w:rFonts w:cs="Calibri"/>
              </w:rPr>
              <w:t>3</w:t>
            </w:r>
            <w:r>
              <w:rPr>
                <w:rFonts w:hint="eastAsia" w:ascii="宋体" w:hAnsi="宋体"/>
              </w:rPr>
              <w:t>）签订合同前提供整体布局方案，经采购人同意后按要求实施。</w:t>
            </w:r>
          </w:p>
          <w:p w14:paraId="4E17E640">
            <w:pPr>
              <w:rPr>
                <w:b/>
              </w:rPr>
            </w:pPr>
            <w:r>
              <w:rPr>
                <w:rFonts w:hint="eastAsia" w:ascii="宋体" w:hAnsi="宋体"/>
                <w:b/>
              </w:rPr>
              <w:t xml:space="preserve"> ★</w:t>
            </w:r>
            <w:r>
              <w:rPr>
                <w:rFonts w:hint="eastAsia" w:ascii="宋体" w:hAnsi="宋体"/>
              </w:rPr>
              <w:t>（</w:t>
            </w:r>
            <w:r>
              <w:rPr>
                <w:rFonts w:cs="Calibri"/>
              </w:rPr>
              <w:t>4</w:t>
            </w:r>
            <w:r>
              <w:rPr>
                <w:rFonts w:hint="eastAsia" w:ascii="宋体" w:hAnsi="宋体"/>
              </w:rPr>
              <w:t>）如需要招标设备的软件系统与医院智能化系统对接，所产生的费用由中标人承担。</w:t>
            </w:r>
          </w:p>
        </w:tc>
      </w:tr>
    </w:tbl>
    <w:p w14:paraId="79DB1ECD">
      <w:pPr>
        <w:rPr>
          <w:b/>
          <w:bCs/>
          <w:sz w:val="24"/>
          <w:szCs w:val="24"/>
        </w:rPr>
      </w:pPr>
      <w:r>
        <w:rPr>
          <w:rFonts w:hint="eastAsia"/>
          <w:b/>
          <w:bCs/>
          <w:sz w:val="24"/>
          <w:szCs w:val="24"/>
        </w:rPr>
        <w:t xml:space="preserve"> </w:t>
      </w:r>
    </w:p>
    <w:p w14:paraId="3D1ABD2B">
      <w:pPr>
        <w:rPr>
          <w:rFonts w:hint="eastAsia"/>
          <w:b/>
          <w:bCs/>
          <w:sz w:val="24"/>
          <w:szCs w:val="24"/>
        </w:rPr>
      </w:pPr>
      <w:r>
        <w:rPr>
          <w:rFonts w:hint="eastAsia"/>
          <w:b/>
          <w:bCs/>
          <w:sz w:val="24"/>
          <w:szCs w:val="24"/>
        </w:rPr>
        <w:t xml:space="preserve">                                           </w:t>
      </w:r>
    </w:p>
    <w:p w14:paraId="5AF62D7A">
      <w:pPr>
        <w:ind w:firstLine="5301" w:firstLineChars="2200"/>
        <w:rPr>
          <w:rFonts w:hint="eastAsia"/>
          <w:b/>
          <w:bCs/>
          <w:sz w:val="24"/>
          <w:szCs w:val="24"/>
        </w:rPr>
      </w:pPr>
      <w:r>
        <w:rPr>
          <w:rFonts w:hint="eastAsia"/>
          <w:b/>
          <w:bCs/>
          <w:sz w:val="24"/>
          <w:szCs w:val="24"/>
        </w:rPr>
        <w:t>佛山市是第二人民医院</w:t>
      </w:r>
    </w:p>
    <w:p w14:paraId="3DD314FF">
      <w:pPr>
        <w:ind w:firstLine="5503" w:firstLineChars="2284"/>
        <w:rPr>
          <w:rFonts w:hint="eastAsia"/>
          <w:b/>
          <w:bCs/>
          <w:sz w:val="24"/>
          <w:szCs w:val="24"/>
        </w:rPr>
      </w:pPr>
    </w:p>
    <w:p w14:paraId="7F46EB2E">
      <w:pPr>
        <w:ind w:firstLine="5503" w:firstLineChars="2284"/>
        <w:rPr>
          <w:rFonts w:hint="eastAsia"/>
          <w:b/>
          <w:bCs/>
          <w:sz w:val="24"/>
          <w:szCs w:val="24"/>
        </w:rPr>
      </w:pPr>
      <w:r>
        <w:rPr>
          <w:rFonts w:hint="eastAsia"/>
          <w:b/>
          <w:bCs/>
          <w:sz w:val="24"/>
          <w:szCs w:val="24"/>
        </w:rPr>
        <w:t>2025年10月14日</w:t>
      </w:r>
    </w:p>
    <w:p w14:paraId="7B709A2F">
      <w:pPr>
        <w:rPr>
          <w:rFonts w:hint="eastAsia"/>
          <w:b/>
          <w:bCs/>
          <w:sz w:val="24"/>
          <w:szCs w:val="24"/>
        </w:rPr>
      </w:pPr>
    </w:p>
    <w:p w14:paraId="1B391D8B">
      <w:r>
        <w:rPr>
          <w:rFonts w:hint="eastAsia"/>
          <w:b/>
          <w:bCs/>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84268"/>
    <w:multiLevelType w:val="multilevel"/>
    <w:tmpl w:val="09E84268"/>
    <w:lvl w:ilvl="0" w:tentative="0">
      <w:start w:val="1"/>
      <w:numFmt w:val="decimal"/>
      <w:lvlText w:val="%1."/>
      <w:lvlJc w:val="left"/>
      <w:pPr>
        <w:tabs>
          <w:tab w:val="left" w:pos="360"/>
        </w:tabs>
        <w:ind w:left="360" w:hanging="360"/>
      </w:pPr>
    </w:lvl>
    <w:lvl w:ilvl="1" w:tentative="0">
      <w:start w:val="3"/>
      <w:numFmt w:val="japaneseCounting"/>
      <w:lvlText w:val="（%2）"/>
      <w:lvlJc w:val="left"/>
      <w:pPr>
        <w:ind w:left="1575" w:hanging="855"/>
      </w:pPr>
      <w:rPr>
        <w:rFonts w:hint="default"/>
      </w:r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556"/>
    <w:rsid w:val="00381556"/>
    <w:rsid w:val="003D2E8B"/>
    <w:rsid w:val="003F058C"/>
    <w:rsid w:val="00406635"/>
    <w:rsid w:val="004B5519"/>
    <w:rsid w:val="005D218C"/>
    <w:rsid w:val="005E61CD"/>
    <w:rsid w:val="005F6611"/>
    <w:rsid w:val="005F7577"/>
    <w:rsid w:val="006B0B9F"/>
    <w:rsid w:val="00703104"/>
    <w:rsid w:val="00763DDE"/>
    <w:rsid w:val="00811E05"/>
    <w:rsid w:val="00962E91"/>
    <w:rsid w:val="00A75460"/>
    <w:rsid w:val="00B55E24"/>
    <w:rsid w:val="00CD672A"/>
    <w:rsid w:val="00E01464"/>
    <w:rsid w:val="00EA0DCA"/>
    <w:rsid w:val="00F5017E"/>
    <w:rsid w:val="00F714A1"/>
    <w:rsid w:val="03C9638F"/>
    <w:rsid w:val="06330FC6"/>
    <w:rsid w:val="0EE40C77"/>
    <w:rsid w:val="3BEB4BDB"/>
    <w:rsid w:val="47EF4704"/>
    <w:rsid w:val="4FFE5CA5"/>
    <w:rsid w:val="6AAE6E61"/>
    <w:rsid w:val="6E772E4D"/>
    <w:rsid w:val="7B766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EC487-86F1-469C-A522-1DE4C927BDAC}">
  <ds:schemaRefs/>
</ds:datastoreItem>
</file>

<file path=docProps/app.xml><?xml version="1.0" encoding="utf-8"?>
<Properties xmlns="http://schemas.openxmlformats.org/officeDocument/2006/extended-properties" xmlns:vt="http://schemas.openxmlformats.org/officeDocument/2006/docPropsVTypes">
  <Template>Normal</Template>
  <Pages>7</Pages>
  <Words>5216</Words>
  <Characters>5434</Characters>
  <Lines>42</Lines>
  <Paragraphs>11</Paragraphs>
  <TotalTime>55</TotalTime>
  <ScaleCrop>false</ScaleCrop>
  <LinksUpToDate>false</LinksUpToDate>
  <CharactersWithSpaces>5530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2025-10-14T01:54:00Z</dcterms:created>
  <dc:creator>朱永根</dc:creator>
  <cp:lastModifiedBy>yt</cp:lastModifiedBy>
  <dcterms:modified xsi:type="dcterms:W3CDTF">2025-10-20T07:27:38Z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eyJoZGlkIjoiMzNkNGZhNzhiMmUzNjUwZWFjNTBiZDc1NGFkYTk2ZDYiLCJ1c2VySWQiOiIzMTkwNDU0MzEifQ==</vt:lpwstr>
  </property>
  <property fmtid="{D5CDD505-2E9C-101B-9397-08002B2CF9AE}" pid="3" name="KSOProductBuildVer">
    <vt:lpwstr>2052-12.1.0.23125</vt:lpwstr>
  </property>
  <property fmtid="{D5CDD505-2E9C-101B-9397-08002B2CF9AE}" pid="4" name="ICV">
    <vt:lpwstr>EE3B368D28334B4B9F72BF37FEFF31F8_12</vt:lpwstr>
  </property>
</Properties>
</file>