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eastAsia" w:ascii="仿宋" w:hAnsi="仿宋" w:eastAsia="仿宋" w:cs="仿宋"/>
          <w:sz w:val="36"/>
          <w:szCs w:val="36"/>
        </w:rPr>
      </w:pPr>
      <w:bookmarkStart w:id="0" w:name="OLE_LINK2"/>
      <w:r>
        <w:rPr>
          <w:rFonts w:hint="eastAsia" w:ascii="仿宋" w:hAnsi="仿宋" w:eastAsia="仿宋" w:cs="仿宋"/>
          <w:sz w:val="36"/>
          <w:szCs w:val="36"/>
        </w:rPr>
        <w:t>2026年度两院区间光纤专线租赁服务</w:t>
      </w:r>
      <w:bookmarkEnd w:id="0"/>
    </w:p>
    <w:p>
      <w:pPr>
        <w:spacing w:line="360" w:lineRule="auto"/>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一、项目概况</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为保障医院信息系统产生的业务数据能在两个院区之间实时、稳定、安全、保密的交互传输，医院需提前搭建网络专线进行连接。</w:t>
      </w:r>
    </w:p>
    <w:p>
      <w:pPr>
        <w:spacing w:line="360" w:lineRule="auto"/>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 xml:space="preserve">二、项目需求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医院专线业务网络类型有三种，分别为内网、专网和备份网。为保障医院业务数据实时、同步、安全地存储在核心机房内，新旧院区必须通过独立专用的光纤线缆（简称“裸纤”）连接，以实现新旧院区持续稳定的数据交互传输。</w:t>
      </w:r>
    </w:p>
    <w:p>
      <w:pPr>
        <w:spacing w:line="360" w:lineRule="auto"/>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三、项目内容</w:t>
      </w:r>
      <w:bookmarkStart w:id="3" w:name="_GoBack"/>
      <w:bookmarkEnd w:id="3"/>
    </w:p>
    <w:p>
      <w:pPr>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安装地点及工期</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1．安装地点：佛山市禅城区禅港东路9号第二人民医院绿岛湖院区</w:t>
      </w:r>
      <w:r>
        <w:rPr>
          <w:rFonts w:hint="eastAsia" w:ascii="方正仿宋_GB2312" w:hAnsi="方正仿宋_GB2312" w:eastAsia="方正仿宋_GB2312" w:cs="方正仿宋_GB2312"/>
          <w:sz w:val="24"/>
          <w:szCs w:val="24"/>
          <w:lang w:val="en-US" w:eastAsia="zh-CN"/>
        </w:rPr>
        <w:t>与卫国路院区</w:t>
      </w:r>
      <w:r>
        <w:rPr>
          <w:rFonts w:hint="eastAsia" w:ascii="方正仿宋_GB2312" w:hAnsi="方正仿宋_GB2312" w:eastAsia="方正仿宋_GB2312" w:cs="方正仿宋_GB2312"/>
          <w:sz w:val="24"/>
          <w:szCs w:val="24"/>
        </w:rPr>
        <w:t>。2．工期：合同签订日起5天内完成线路建设</w:t>
      </w:r>
      <w:r>
        <w:rPr>
          <w:rFonts w:hint="eastAsia" w:ascii="方正仿宋_GB2312" w:hAnsi="方正仿宋_GB2312" w:eastAsia="方正仿宋_GB2312" w:cs="方正仿宋_GB2312"/>
          <w:sz w:val="24"/>
          <w:szCs w:val="24"/>
          <w:lang w:eastAsia="zh-CN"/>
        </w:rPr>
        <w:t>。</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服务期：自项目竣工验收之日起</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年。</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付款方式</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1.按季度支付，先使用后支付，</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收到</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合法全额发票后30个工作日内，支付上一个季度的光纤租用费用（银行代扣开始时间以</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 xml:space="preserve">新院区信息机房投入使用时间为准）。2. </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必须提供真实有效的合法发票，不符合规定的发票，不得作为财务报销凭证，任何单位和个人有权拒收，</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须承担一切法律责任及经济损失，同时，</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有权取消</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中标资格并终止合同。使用期限：三年，自签订合同生效起计算。3.合同总额包括货物设计、材料、制造、包装、运输、安装、调试、检测、验收合格交付使用之前及保修期内保修服务与备用物件等所有其他有关各项的含税费用。</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无须向</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支付除上述本合同价款总额之外的任何费用及款项。</w:t>
      </w:r>
    </w:p>
    <w:p>
      <w:pPr>
        <w:spacing w:line="360" w:lineRule="auto"/>
        <w:ind w:firstLine="480" w:firstLineChars="200"/>
        <w:rPr>
          <w:rFonts w:hint="eastAsia" w:ascii="方正仿宋_GB2312" w:hAnsi="方正仿宋_GB2312" w:eastAsia="方正仿宋_GB2312" w:cs="方正仿宋_GB2312"/>
          <w:sz w:val="24"/>
          <w:szCs w:val="24"/>
        </w:rPr>
      </w:pPr>
    </w:p>
    <w:p>
      <w:pPr>
        <w:spacing w:line="360" w:lineRule="auto"/>
        <w:ind w:firstLine="388"/>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 xml:space="preserve">四、技术要求 </w:t>
      </w:r>
      <w:r>
        <w:rPr>
          <w:rFonts w:hint="eastAsia" w:ascii="方正仿宋_GB2312" w:hAnsi="方正仿宋_GB2312" w:eastAsia="方正仿宋_GB2312" w:cs="方正仿宋_GB2312"/>
          <w:sz w:val="24"/>
          <w:szCs w:val="24"/>
        </w:rPr>
        <w:t xml:space="preserve"> </w:t>
      </w:r>
    </w:p>
    <w:p>
      <w:pPr>
        <w:spacing w:line="360" w:lineRule="auto"/>
        <w:ind w:firstLine="388"/>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（一）光缆</w:t>
      </w:r>
      <w:r>
        <w:rPr>
          <w:rFonts w:hint="eastAsia" w:ascii="方正仿宋_GB2312" w:hAnsi="方正仿宋_GB2312" w:eastAsia="方正仿宋_GB2312" w:cs="方正仿宋_GB2312"/>
          <w:sz w:val="24"/>
          <w:szCs w:val="24"/>
        </w:rPr>
        <w:t xml:space="preserve">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1、单模光纤，每条末端光缆至少保留2芯备用光纤；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2、标称工作波长为 1310nm，工作范围：1285—1330nm；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3、衰减常数：在1310nm波长上不大于0.38dB/km；在 1550nm波长上不大于0.25dB/km；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4、模场直径：9.3μ m±0.5μ m（1310nm）； 10.5μ m±0.8μ m（1550nm）；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5、包层直径：125μ m±2μ m；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6、包层不圆度：不大于 1%；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7、截止常数：1100~1280nm（在 2 米光纤上测得）；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8、总色散系数：在 1285~1330nm 波长范围内的全部波长上不大于 3.5PS/nm•km；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9、允许张力：工作时：600N，敷设时：1500N；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10、允许侧压力：工作时：300N/10cm，敷设时：1000 N/10cm；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11、允许的弯曲半径：工作时：光缆外径的 10 倍；敷设时：光缆外径的 20 倍；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12、新敷设光缆盘长：2000+50/──0 米；</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13、光缆寿命： 所有提供给</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 xml:space="preserve">的光缆在正常使用情况下的预期寿命不少于15年。 </w:t>
      </w:r>
    </w:p>
    <w:p>
      <w:pPr>
        <w:spacing w:line="360" w:lineRule="auto"/>
        <w:ind w:firstLine="482"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t xml:space="preserve">（二）光纤配线模块及光缆终端盒 </w:t>
      </w:r>
      <w:r>
        <w:rPr>
          <w:rFonts w:hint="eastAsia" w:ascii="方正仿宋_GB2312" w:hAnsi="方正仿宋_GB2312" w:eastAsia="方正仿宋_GB2312" w:cs="方正仿宋_GB2312"/>
          <w:sz w:val="24"/>
          <w:szCs w:val="24"/>
        </w:rPr>
        <w:t xml:space="preserve">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1、产品必须严格遵循以下各种行业标准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1）YD/T778──1999 《光纤配线架》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2）YD/T826──1996 《FC/PC 型单模光纤活动连接器技术条件》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3）YD/T988──1998 《通信光缆交接箱》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4）YD/T925──1997 《光缆终端盒》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2、标称工作波长：850nm、1310nm、1550nm；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3、光纤活动连接器：符合 GB12507 及相关标准的规定；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4、光纤光缆符合 GB/T11818 和 GB/T7424 的规定；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5、具有光缆固定和保护功能；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6、具有光缆终接功能；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7、光缆纤芯和尾纤的保护功能；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8、卡座支持 FC 适配器，适配器与机箱正面呈 30°角，既能保证跳纤的曲率半径，又能避免弧光灼伤眼睛；  </w:t>
      </w:r>
    </w:p>
    <w:p>
      <w:pPr>
        <w:numPr>
          <w:ilvl w:val="0"/>
          <w:numId w:val="1"/>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具有直熔功能；  </w:t>
      </w:r>
    </w:p>
    <w:p>
      <w:pPr>
        <w:numPr>
          <w:ilvl w:val="0"/>
          <w:numId w:val="1"/>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网络传输速度达到万兆以上；</w:t>
      </w:r>
    </w:p>
    <w:p>
      <w:pPr>
        <w:spacing w:line="360" w:lineRule="auto"/>
        <w:ind w:left="63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五、实施要求</w:t>
      </w:r>
    </w:p>
    <w:p>
      <w:pPr>
        <w:numPr>
          <w:ilvl w:val="0"/>
          <w:numId w:val="2"/>
        </w:numPr>
        <w:spacing w:line="360" w:lineRule="auto"/>
        <w:ind w:firstLine="64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由于光纤线路是用于新旧院互联的专用网络，</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必须承诺在合同签订日起</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天内完成线路建设完成，开通时间根据新院信息机房投入使用时间为准。</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2、光纤布线接入要符合国家有关光纤布线规范，所有光纤引入机房交换机柜，并可直接连接到交换机光纤端口，项目所需设备及线材由</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提供</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包括收发器、模块等</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3、光纤线路的安装和调试前必须先经医院同意方可进行。光纤线路需要100%通过性能测试，提供完整的测试报告，</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必须提供完整的路由走向设计文档，包括但不限于路由及光纤线路走向等内容。</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4、因机房机柜分配调整需要，本项目维护的线路机柜位置如有有调整需要，</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 xml:space="preserve">应按采购人的要求对线路进行重新整理和跳纤（含废旧光纤的清理），医院无需增加任何费用。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5、保证线路 365×7×24 小时畅通，对出租的线路应依据国家有关部门（如工信部）规定的修复时限修复故障，故障排除费用由供应商承担，</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必须承诺向</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提供每天 24 小时,一年365日全天候技术支持响应。由于特殊原因（如光缆割接、停机维修等原因）需临时中断用户线路时，应提前 2 日通知，并采取相应措施保证该线路的畅通。</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承诺在报障后10分钟内回应，并免费提供100M等量带宽的VPN商业电路做应急使用，1 小时内排查故障，明确修复时间。</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需提供 VIP 报障专线服务 。</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7、当月线路中断、闭塞或全阻累计超过 72 小时/月的，核减当月该条线路租用费的50%，当月线路闭塞或全阻累计超过 144 小时/月的，免收当月该条线路租用费。</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应提交详细工程进度表，并设专门项目负责人，负责项目的协调管理工作。</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lang w:eastAsia="zh-CN"/>
        </w:rPr>
        <w:t>运营商</w:t>
      </w:r>
      <w:r>
        <w:rPr>
          <w:rFonts w:hint="eastAsia" w:ascii="方正仿宋_GB2312" w:hAnsi="方正仿宋_GB2312" w:eastAsia="方正仿宋_GB2312" w:cs="方正仿宋_GB2312"/>
          <w:sz w:val="24"/>
          <w:szCs w:val="24"/>
        </w:rPr>
        <w:t>应提供包括但不限于满足设备安装、使用和维护的技术文件和裸纤铺设路径拓扑图，以便于</w:t>
      </w:r>
      <w:r>
        <w:rPr>
          <w:rFonts w:hint="eastAsia" w:ascii="方正仿宋_GB2312" w:hAnsi="方正仿宋_GB2312" w:eastAsia="方正仿宋_GB2312" w:cs="方正仿宋_GB2312"/>
          <w:sz w:val="24"/>
          <w:szCs w:val="24"/>
          <w:lang w:eastAsia="zh-CN"/>
        </w:rPr>
        <w:t>采购人</w:t>
      </w:r>
      <w:r>
        <w:rPr>
          <w:rFonts w:hint="eastAsia" w:ascii="方正仿宋_GB2312" w:hAnsi="方正仿宋_GB2312" w:eastAsia="方正仿宋_GB2312" w:cs="方正仿宋_GB2312"/>
          <w:sz w:val="24"/>
          <w:szCs w:val="24"/>
        </w:rPr>
        <w:t>在使用过程中做好相关的保养和配合工作。</w:t>
      </w:r>
    </w:p>
    <w:p>
      <w:pPr>
        <w:spacing w:line="360" w:lineRule="auto"/>
        <w:ind w:left="63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六</w:t>
      </w:r>
      <w:r>
        <w:rPr>
          <w:rFonts w:hint="eastAsia" w:ascii="方正仿宋_GB2312" w:hAnsi="方正仿宋_GB2312" w:eastAsia="方正仿宋_GB2312" w:cs="方正仿宋_GB2312"/>
          <w:b/>
          <w:bCs/>
          <w:sz w:val="24"/>
          <w:szCs w:val="24"/>
        </w:rPr>
        <w:t>、</w:t>
      </w:r>
      <w:r>
        <w:rPr>
          <w:rFonts w:hint="eastAsia" w:ascii="方正仿宋_GB2312" w:hAnsi="方正仿宋_GB2312" w:eastAsia="方正仿宋_GB2312" w:cs="方正仿宋_GB2312"/>
          <w:b/>
          <w:bCs/>
          <w:sz w:val="24"/>
          <w:szCs w:val="24"/>
          <w:lang w:val="en-US" w:eastAsia="zh-CN"/>
        </w:rPr>
        <w:t>报价</w:t>
      </w:r>
      <w:r>
        <w:rPr>
          <w:rFonts w:hint="eastAsia" w:ascii="方正仿宋_GB2312" w:hAnsi="方正仿宋_GB2312" w:eastAsia="方正仿宋_GB2312" w:cs="方正仿宋_GB2312"/>
          <w:b/>
          <w:bCs/>
          <w:sz w:val="24"/>
          <w:szCs w:val="24"/>
        </w:rPr>
        <w:t>要求</w:t>
      </w:r>
    </w:p>
    <w:p>
      <w:pPr>
        <w:pStyle w:val="2"/>
        <w:rPr>
          <w:rFonts w:hint="default" w:eastAsia="方正仿宋_GB2312"/>
          <w:lang w:val="en-US" w:eastAsia="zh-CN"/>
        </w:rPr>
      </w:pPr>
      <w:bookmarkStart w:id="1" w:name="OLE_LINK3"/>
      <w:r>
        <w:rPr>
          <w:rFonts w:hint="eastAsia" w:ascii="方正仿宋_GB2312" w:hAnsi="方正仿宋_GB2312" w:eastAsia="方正仿宋_GB2312" w:cs="方正仿宋_GB2312"/>
          <w:b/>
          <w:bCs/>
          <w:sz w:val="24"/>
          <w:szCs w:val="24"/>
          <w:lang w:val="en-US" w:eastAsia="zh-CN"/>
        </w:rPr>
        <w:t>运营商提供</w:t>
      </w:r>
      <w:bookmarkStart w:id="2" w:name="OLE_LINK1"/>
      <w:r>
        <w:rPr>
          <w:rFonts w:hint="eastAsia" w:ascii="方正仿宋_GB2312" w:hAnsi="方正仿宋_GB2312" w:eastAsia="方正仿宋_GB2312" w:cs="方正仿宋_GB2312"/>
          <w:b/>
          <w:bCs/>
          <w:color w:val="FF0000"/>
          <w:sz w:val="24"/>
          <w:szCs w:val="24"/>
          <w:lang w:val="en-US" w:eastAsia="zh-CN"/>
        </w:rPr>
        <w:t>6路裸纤</w:t>
      </w:r>
      <w:bookmarkEnd w:id="2"/>
      <w:r>
        <w:rPr>
          <w:rFonts w:hint="eastAsia" w:ascii="方正仿宋_GB2312" w:hAnsi="方正仿宋_GB2312" w:eastAsia="方正仿宋_GB2312" w:cs="方正仿宋_GB2312"/>
          <w:b/>
          <w:bCs/>
          <w:color w:val="FF0000"/>
          <w:sz w:val="24"/>
          <w:szCs w:val="24"/>
          <w:lang w:val="en-US" w:eastAsia="zh-CN"/>
        </w:rPr>
        <w:t>报价</w:t>
      </w:r>
      <w:r>
        <w:rPr>
          <w:rFonts w:hint="eastAsia" w:ascii="方正仿宋_GB2312" w:hAnsi="方正仿宋_GB2312" w:eastAsia="方正仿宋_GB2312" w:cs="方正仿宋_GB2312"/>
          <w:b/>
          <w:bCs/>
          <w:sz w:val="24"/>
          <w:szCs w:val="24"/>
          <w:lang w:val="en-US" w:eastAsia="zh-CN"/>
        </w:rPr>
        <w:t>，必须保证每两路裸纤</w:t>
      </w:r>
      <w:r>
        <w:rPr>
          <w:rFonts w:hint="eastAsia" w:ascii="方正仿宋_GB2312" w:hAnsi="方正仿宋_GB2312" w:eastAsia="方正仿宋_GB2312" w:cs="方正仿宋_GB2312"/>
          <w:b/>
          <w:bCs/>
          <w:color w:val="FF0000"/>
          <w:sz w:val="24"/>
          <w:szCs w:val="24"/>
          <w:lang w:val="en-US" w:eastAsia="zh-CN"/>
        </w:rPr>
        <w:t>路由不重叠</w:t>
      </w:r>
      <w:r>
        <w:rPr>
          <w:rFonts w:hint="eastAsia" w:ascii="方正仿宋_GB2312" w:hAnsi="方正仿宋_GB2312" w:eastAsia="方正仿宋_GB2312" w:cs="方正仿宋_GB2312"/>
          <w:b/>
          <w:bCs/>
          <w:sz w:val="24"/>
          <w:szCs w:val="24"/>
          <w:lang w:val="en-US" w:eastAsia="zh-CN"/>
        </w:rPr>
        <w:t>，并附上路由图和公里数。</w:t>
      </w:r>
    </w:p>
    <w:bookmarkEnd w:id="1"/>
    <w:tbl>
      <w:tblPr>
        <w:tblStyle w:val="8"/>
        <w:tblpPr w:leftFromText="180" w:rightFromText="180" w:vertAnchor="text" w:horzAnchor="page" w:tblpX="1307" w:tblpY="47"/>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945"/>
        <w:gridCol w:w="2640"/>
        <w:gridCol w:w="274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695" w:type="dxa"/>
          </w:tcPr>
          <w:p>
            <w:pPr>
              <w:pStyle w:val="2"/>
              <w:ind w:left="0" w:leftChars="0" w:firstLine="0" w:firstLineChars="0"/>
              <w:jc w:val="center"/>
              <w:rPr>
                <w:rFonts w:hint="default"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光纤线路</w:t>
            </w:r>
          </w:p>
        </w:tc>
        <w:tc>
          <w:tcPr>
            <w:tcW w:w="945" w:type="dxa"/>
          </w:tcPr>
          <w:p>
            <w:pPr>
              <w:pStyle w:val="2"/>
              <w:jc w:val="center"/>
              <w:rPr>
                <w:rFonts w:hint="default"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数量</w:t>
            </w:r>
          </w:p>
        </w:tc>
        <w:tc>
          <w:tcPr>
            <w:tcW w:w="2640" w:type="dxa"/>
          </w:tcPr>
          <w:p>
            <w:pPr>
              <w:pStyle w:val="2"/>
              <w:jc w:val="center"/>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每路公里数（KM）</w:t>
            </w:r>
          </w:p>
        </w:tc>
        <w:tc>
          <w:tcPr>
            <w:tcW w:w="2745" w:type="dxa"/>
          </w:tcPr>
          <w:p>
            <w:pPr>
              <w:pStyle w:val="2"/>
              <w:jc w:val="center"/>
              <w:rPr>
                <w:rFonts w:hint="default"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每路光纤月租费用</w:t>
            </w:r>
          </w:p>
        </w:tc>
        <w:tc>
          <w:tcPr>
            <w:tcW w:w="1580" w:type="dxa"/>
          </w:tcPr>
          <w:p>
            <w:pPr>
              <w:pStyle w:val="2"/>
              <w:jc w:val="both"/>
              <w:rPr>
                <w:rFonts w:hint="default"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3年费用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tcPr>
          <w:p>
            <w:pPr>
              <w:pStyle w:val="2"/>
              <w:jc w:val="center"/>
              <w:rPr>
                <w:rFonts w:hint="default"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线路1</w:t>
            </w:r>
          </w:p>
        </w:tc>
        <w:tc>
          <w:tcPr>
            <w:tcW w:w="945" w:type="dxa"/>
          </w:tcPr>
          <w:p>
            <w:pPr>
              <w:pStyle w:val="2"/>
              <w:rPr>
                <w:rFonts w:hint="default"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3条</w:t>
            </w:r>
          </w:p>
        </w:tc>
        <w:tc>
          <w:tcPr>
            <w:tcW w:w="2640" w:type="dxa"/>
          </w:tcPr>
          <w:p>
            <w:pPr>
              <w:pStyle w:val="2"/>
              <w:rPr>
                <w:rFonts w:hint="eastAsia" w:ascii="方正仿宋_GB2312" w:hAnsi="方正仿宋_GB2312" w:eastAsia="方正仿宋_GB2312" w:cs="方正仿宋_GB2312"/>
                <w:b/>
                <w:bCs/>
                <w:sz w:val="24"/>
                <w:szCs w:val="24"/>
                <w:vertAlign w:val="baseline"/>
                <w:lang w:val="en-US" w:eastAsia="zh-CN"/>
              </w:rPr>
            </w:pPr>
          </w:p>
        </w:tc>
        <w:tc>
          <w:tcPr>
            <w:tcW w:w="2745" w:type="dxa"/>
          </w:tcPr>
          <w:p>
            <w:pPr>
              <w:pStyle w:val="2"/>
              <w:rPr>
                <w:rFonts w:hint="eastAsia" w:ascii="方正仿宋_GB2312" w:hAnsi="方正仿宋_GB2312" w:eastAsia="方正仿宋_GB2312" w:cs="方正仿宋_GB2312"/>
                <w:b/>
                <w:bCs/>
                <w:sz w:val="24"/>
                <w:szCs w:val="24"/>
                <w:vertAlign w:val="baseline"/>
                <w:lang w:val="en-US" w:eastAsia="zh-CN"/>
              </w:rPr>
            </w:pPr>
          </w:p>
        </w:tc>
        <w:tc>
          <w:tcPr>
            <w:tcW w:w="1580" w:type="dxa"/>
          </w:tcPr>
          <w:p>
            <w:pPr>
              <w:pStyle w:val="2"/>
              <w:rPr>
                <w:rFonts w:hint="eastAsia" w:ascii="方正仿宋_GB2312" w:hAnsi="方正仿宋_GB2312" w:eastAsia="方正仿宋_GB2312" w:cs="方正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tcPr>
          <w:p>
            <w:pPr>
              <w:pStyle w:val="2"/>
              <w:jc w:val="center"/>
              <w:rPr>
                <w:rFonts w:hint="default"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线路2</w:t>
            </w:r>
          </w:p>
        </w:tc>
        <w:tc>
          <w:tcPr>
            <w:tcW w:w="945" w:type="dxa"/>
          </w:tcPr>
          <w:p>
            <w:pPr>
              <w:pStyle w:val="2"/>
              <w:rPr>
                <w:rFonts w:hint="default"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3条</w:t>
            </w:r>
          </w:p>
        </w:tc>
        <w:tc>
          <w:tcPr>
            <w:tcW w:w="2640" w:type="dxa"/>
          </w:tcPr>
          <w:p>
            <w:pPr>
              <w:pStyle w:val="2"/>
              <w:rPr>
                <w:rFonts w:hint="eastAsia" w:ascii="方正仿宋_GB2312" w:hAnsi="方正仿宋_GB2312" w:eastAsia="方正仿宋_GB2312" w:cs="方正仿宋_GB2312"/>
                <w:b/>
                <w:bCs/>
                <w:sz w:val="24"/>
                <w:szCs w:val="24"/>
                <w:vertAlign w:val="baseline"/>
                <w:lang w:val="en-US" w:eastAsia="zh-CN"/>
              </w:rPr>
            </w:pPr>
          </w:p>
        </w:tc>
        <w:tc>
          <w:tcPr>
            <w:tcW w:w="2745" w:type="dxa"/>
          </w:tcPr>
          <w:p>
            <w:pPr>
              <w:pStyle w:val="2"/>
              <w:rPr>
                <w:rFonts w:hint="eastAsia" w:ascii="方正仿宋_GB2312" w:hAnsi="方正仿宋_GB2312" w:eastAsia="方正仿宋_GB2312" w:cs="方正仿宋_GB2312"/>
                <w:b/>
                <w:bCs/>
                <w:sz w:val="24"/>
                <w:szCs w:val="24"/>
                <w:vertAlign w:val="baseline"/>
                <w:lang w:val="en-US" w:eastAsia="zh-CN"/>
              </w:rPr>
            </w:pPr>
          </w:p>
        </w:tc>
        <w:tc>
          <w:tcPr>
            <w:tcW w:w="1580" w:type="dxa"/>
          </w:tcPr>
          <w:p>
            <w:pPr>
              <w:pStyle w:val="2"/>
              <w:rPr>
                <w:rFonts w:hint="eastAsia" w:ascii="方正仿宋_GB2312" w:hAnsi="方正仿宋_GB2312" w:eastAsia="方正仿宋_GB2312" w:cs="方正仿宋_GB2312"/>
                <w:b/>
                <w:bCs/>
                <w:sz w:val="24"/>
                <w:szCs w:val="24"/>
                <w:vertAlign w:val="baseline"/>
                <w:lang w:val="en-US" w:eastAsia="zh-CN"/>
              </w:rPr>
            </w:pPr>
          </w:p>
        </w:tc>
      </w:tr>
    </w:tbl>
    <w:p>
      <w:pPr>
        <w:spacing w:line="360" w:lineRule="auto"/>
        <w:jc w:val="left"/>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附图</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B2C985"/>
    <w:multiLevelType w:val="singleLevel"/>
    <w:tmpl w:val="A6B2C985"/>
    <w:lvl w:ilvl="0" w:tentative="0">
      <w:start w:val="9"/>
      <w:numFmt w:val="decimal"/>
      <w:suff w:val="nothing"/>
      <w:lvlText w:val="%1、"/>
      <w:lvlJc w:val="left"/>
    </w:lvl>
  </w:abstractNum>
  <w:abstractNum w:abstractNumId="1">
    <w:nsid w:val="011C164E"/>
    <w:multiLevelType w:val="singleLevel"/>
    <w:tmpl w:val="011C164E"/>
    <w:lvl w:ilvl="0" w:tentative="0">
      <w:start w:val="1"/>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TQ4YjQ3OTAzN2NmZmRkYjM5NmRhOWZmMzNkMDEifQ=="/>
  </w:docVars>
  <w:rsids>
    <w:rsidRoot w:val="00172A27"/>
    <w:rsid w:val="00001DD2"/>
    <w:rsid w:val="000C2CD2"/>
    <w:rsid w:val="000C330D"/>
    <w:rsid w:val="000F1A5B"/>
    <w:rsid w:val="00120DE5"/>
    <w:rsid w:val="00152392"/>
    <w:rsid w:val="00172A27"/>
    <w:rsid w:val="00225720"/>
    <w:rsid w:val="0024798B"/>
    <w:rsid w:val="00252F33"/>
    <w:rsid w:val="002C6832"/>
    <w:rsid w:val="00324BF1"/>
    <w:rsid w:val="00352B1E"/>
    <w:rsid w:val="003A30EC"/>
    <w:rsid w:val="003F05F0"/>
    <w:rsid w:val="004130F8"/>
    <w:rsid w:val="005511D4"/>
    <w:rsid w:val="005A6D1C"/>
    <w:rsid w:val="005D5950"/>
    <w:rsid w:val="005E0152"/>
    <w:rsid w:val="006419B7"/>
    <w:rsid w:val="006A07C7"/>
    <w:rsid w:val="006A10B9"/>
    <w:rsid w:val="007461D9"/>
    <w:rsid w:val="00792AD7"/>
    <w:rsid w:val="007954F8"/>
    <w:rsid w:val="007A7F58"/>
    <w:rsid w:val="008537B1"/>
    <w:rsid w:val="00874464"/>
    <w:rsid w:val="008D7981"/>
    <w:rsid w:val="00904068"/>
    <w:rsid w:val="00945D82"/>
    <w:rsid w:val="009746F1"/>
    <w:rsid w:val="00983711"/>
    <w:rsid w:val="009B26F8"/>
    <w:rsid w:val="00A0544F"/>
    <w:rsid w:val="00A471B1"/>
    <w:rsid w:val="00A62C12"/>
    <w:rsid w:val="00A832FD"/>
    <w:rsid w:val="00B02D85"/>
    <w:rsid w:val="00B226D5"/>
    <w:rsid w:val="00B81534"/>
    <w:rsid w:val="00B84065"/>
    <w:rsid w:val="00B94F82"/>
    <w:rsid w:val="00BA513C"/>
    <w:rsid w:val="00BA73B8"/>
    <w:rsid w:val="00BD74CC"/>
    <w:rsid w:val="00BF6FAA"/>
    <w:rsid w:val="00C34666"/>
    <w:rsid w:val="00C4790E"/>
    <w:rsid w:val="00C51B86"/>
    <w:rsid w:val="00D17585"/>
    <w:rsid w:val="00D24CE2"/>
    <w:rsid w:val="00DF16A2"/>
    <w:rsid w:val="00E45504"/>
    <w:rsid w:val="00EB3476"/>
    <w:rsid w:val="00F10F16"/>
    <w:rsid w:val="00F50ACA"/>
    <w:rsid w:val="00FA5401"/>
    <w:rsid w:val="00FA670A"/>
    <w:rsid w:val="01330ADD"/>
    <w:rsid w:val="01A56261"/>
    <w:rsid w:val="02481239"/>
    <w:rsid w:val="02936FCC"/>
    <w:rsid w:val="03483348"/>
    <w:rsid w:val="06E15F8D"/>
    <w:rsid w:val="0908782F"/>
    <w:rsid w:val="0A4A3BF7"/>
    <w:rsid w:val="0C7D288F"/>
    <w:rsid w:val="0C8452D5"/>
    <w:rsid w:val="0CFF6E15"/>
    <w:rsid w:val="0FAB5527"/>
    <w:rsid w:val="0FEA1DCA"/>
    <w:rsid w:val="12CC53E7"/>
    <w:rsid w:val="147A0483"/>
    <w:rsid w:val="14D42C8D"/>
    <w:rsid w:val="15DD7F4E"/>
    <w:rsid w:val="160D2131"/>
    <w:rsid w:val="164C5BAB"/>
    <w:rsid w:val="171D388C"/>
    <w:rsid w:val="19FB727A"/>
    <w:rsid w:val="1AF000F5"/>
    <w:rsid w:val="1B8B6070"/>
    <w:rsid w:val="1D74500E"/>
    <w:rsid w:val="1EB27620"/>
    <w:rsid w:val="20A50DB9"/>
    <w:rsid w:val="216D3574"/>
    <w:rsid w:val="238C1474"/>
    <w:rsid w:val="270D636C"/>
    <w:rsid w:val="28FE60D3"/>
    <w:rsid w:val="2DA44259"/>
    <w:rsid w:val="2FD00181"/>
    <w:rsid w:val="369C2C78"/>
    <w:rsid w:val="37074F51"/>
    <w:rsid w:val="3ADE0925"/>
    <w:rsid w:val="3B4E1FB0"/>
    <w:rsid w:val="3BDE5C21"/>
    <w:rsid w:val="3D100730"/>
    <w:rsid w:val="3E651C0E"/>
    <w:rsid w:val="3E954C02"/>
    <w:rsid w:val="3E9B0342"/>
    <w:rsid w:val="40750554"/>
    <w:rsid w:val="418945F3"/>
    <w:rsid w:val="42ED2C77"/>
    <w:rsid w:val="43917E18"/>
    <w:rsid w:val="477A1113"/>
    <w:rsid w:val="484370EC"/>
    <w:rsid w:val="4ABC17B1"/>
    <w:rsid w:val="4B3F2425"/>
    <w:rsid w:val="4D3D2DBF"/>
    <w:rsid w:val="4D493AB2"/>
    <w:rsid w:val="4EF2790C"/>
    <w:rsid w:val="4FD40D96"/>
    <w:rsid w:val="50994FD2"/>
    <w:rsid w:val="51735001"/>
    <w:rsid w:val="51761689"/>
    <w:rsid w:val="52CD40F6"/>
    <w:rsid w:val="53555E81"/>
    <w:rsid w:val="549E2395"/>
    <w:rsid w:val="56306055"/>
    <w:rsid w:val="573815F2"/>
    <w:rsid w:val="5743432B"/>
    <w:rsid w:val="5753273C"/>
    <w:rsid w:val="59580A1D"/>
    <w:rsid w:val="5A4237C2"/>
    <w:rsid w:val="5C5511B6"/>
    <w:rsid w:val="5D6D4598"/>
    <w:rsid w:val="61D04CCF"/>
    <w:rsid w:val="65530034"/>
    <w:rsid w:val="667939FA"/>
    <w:rsid w:val="66F8407B"/>
    <w:rsid w:val="6B8D0718"/>
    <w:rsid w:val="6C892B57"/>
    <w:rsid w:val="6E7066F8"/>
    <w:rsid w:val="6F541B76"/>
    <w:rsid w:val="71970440"/>
    <w:rsid w:val="72233A82"/>
    <w:rsid w:val="740A2BF2"/>
    <w:rsid w:val="751D0C5C"/>
    <w:rsid w:val="777A7870"/>
    <w:rsid w:val="78AC4223"/>
    <w:rsid w:val="7A0454AF"/>
    <w:rsid w:val="7BB6265B"/>
    <w:rsid w:val="7BCD1ED8"/>
    <w:rsid w:val="7BFC781D"/>
    <w:rsid w:val="7C4708C3"/>
    <w:rsid w:val="7C53041C"/>
    <w:rsid w:val="7CC41666"/>
    <w:rsid w:val="7E60693B"/>
    <w:rsid w:val="7ECC4507"/>
    <w:rsid w:val="7EEC1DCB"/>
    <w:rsid w:val="7F07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widowControl/>
      <w:spacing w:after="0" w:afterLines="0" w:line="360" w:lineRule="auto"/>
      <w:ind w:left="-358" w:leftChars="-128" w:firstLine="560" w:firstLineChars="200"/>
      <w:jc w:val="left"/>
    </w:pPr>
    <w:rPr>
      <w:sz w:val="28"/>
      <w:szCs w:val="20"/>
    </w:rPr>
  </w:style>
  <w:style w:type="paragraph" w:styleId="3">
    <w:name w:val="Body Text Indent"/>
    <w:basedOn w:val="1"/>
    <w:qFormat/>
    <w:uiPriority w:val="0"/>
    <w:pPr>
      <w:spacing w:after="120"/>
      <w:ind w:left="420" w:leftChars="200" w:firstLine="425"/>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无缩进正文"/>
    <w:qFormat/>
    <w:uiPriority w:val="0"/>
    <w:pPr>
      <w:widowControl w:val="0"/>
      <w:spacing w:line="360" w:lineRule="auto"/>
      <w:ind w:firstLine="560" w:firstLineChars="200"/>
    </w:pPr>
    <w:rPr>
      <w:rFonts w:ascii="宋体" w:hAnsi="宋体" w:eastAsia="宋体" w:cs="Times New Roman"/>
      <w:spacing w:val="20"/>
      <w:kern w:val="2"/>
      <w:sz w:val="24"/>
      <w:szCs w:val="24"/>
      <w:lang w:val="en-US" w:eastAsia="zh-CN" w:bidi="ar-SA"/>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 w:type="table" w:customStyle="1" w:styleId="13">
    <w:name w:val="网格型1"/>
    <w:basedOn w:val="7"/>
    <w:qFormat/>
    <w:uiPriority w:val="99"/>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样式1"/>
    <w:qFormat/>
    <w:uiPriority w:val="0"/>
    <w:pPr>
      <w:widowControl w:val="0"/>
      <w:spacing w:line="500" w:lineRule="exact"/>
      <w:jc w:val="center"/>
    </w:pPr>
    <w:rPr>
      <w:rFonts w:ascii="Times New Roman" w:hAnsi="Times New Roman" w:eastAsia="黑体" w:cs="Times New Roman"/>
      <w:b/>
      <w:bCs/>
      <w:kern w:val="2"/>
      <w:sz w:val="44"/>
      <w:szCs w:val="24"/>
      <w:lang w:val="en-US" w:eastAsia="zh-CN" w:bidi="ar-SA"/>
    </w:rPr>
  </w:style>
  <w:style w:type="paragraph" w:customStyle="1" w:styleId="15">
    <w:name w:val="Normal New"/>
    <w:qFormat/>
    <w:uiPriority w:val="0"/>
    <w:pPr>
      <w:widowControl w:val="0"/>
      <w:jc w:val="both"/>
    </w:pPr>
    <w:rPr>
      <w:rFonts w:ascii="Times New Roman" w:hAnsi="Times New Roman" w:eastAsia="宋体" w:cs="Times New Roman"/>
      <w:color w:val="0000FF"/>
      <w:kern w:val="2"/>
      <w:sz w:val="24"/>
      <w:lang w:val="en-US" w:eastAsia="zh-CN" w:bidi="ar-SA"/>
    </w:rPr>
  </w:style>
  <w:style w:type="paragraph" w:customStyle="1" w:styleId="16">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460</Words>
  <Characters>2628</Characters>
  <Lines>21</Lines>
  <Paragraphs>6</Paragraphs>
  <TotalTime>3</TotalTime>
  <ScaleCrop>false</ScaleCrop>
  <LinksUpToDate>false</LinksUpToDate>
  <CharactersWithSpaces>3082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2023-02-19T13:12:00Z</dcterms:created>
  <dc:creator>chenlc</dc:creator>
  <cp:lastModifiedBy>zzc</cp:lastModifiedBy>
  <cp:lastPrinted>2023-05-17T23:56:00Z</cp:lastPrinted>
  <dcterms:modified xsi:type="dcterms:W3CDTF">2025-09-29T07:03:57Z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5092CA7BC3C84276ABE28DF0D2EA5507_13</vt:lpwstr>
  </property>
</Properties>
</file>