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54"/>
        <w:spacing w:before="1540" w:after="240"/>
        <w:jc w:val="center"/>
        <w:rPr>
          <w:color w:val="4472C4"/>
        </w:rPr>
      </w:pPr>
      <w:r>
        <w:rPr>
          <w:color w:val="4472C4"/>
        </w:rPr>
        <w:drawing>
          <wp:inline distT="0" distB="0" distL="0" distR="0">
            <wp:extent cx="1424305" cy="757555"/>
            <wp:effectExtent l="0" t="0" r="0" b="0"/>
            <wp:docPr id="10" name="图片 1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143"/>
                    <pic:cNvPicPr>
                      <a:picLocks noChangeAspect="1"/>
                    </pic:cNvPicPr>
                  </pic:nvPicPr>
                  <pic:blipFill>
                    <a:blip r:embed="rId7" cstate="print">
                      <a:duotone>
                        <a:schemeClr val="accent1">
                          <a:shade val="45000"/>
                          <a:satMod val="135000"/>
                        </a:schemeClr>
                        <a:prstClr val="white"/>
                      </a:duotone>
                    </a:blip>
                    <a:stretch>
                      <a:fillRect/>
                    </a:stretch>
                  </pic:blipFill>
                  <pic:spPr>
                    <a:xfrm>
                      <a:off x="0" y="0"/>
                      <a:ext cx="1424305" cy="757555"/>
                    </a:xfrm>
                    <a:prstGeom prst="rect">
                      <a:avLst/>
                    </a:prstGeom>
                    <a:noFill/>
                    <a:ln>
                      <a:noFill/>
                    </a:ln>
                  </pic:spPr>
                </pic:pic>
              </a:graphicData>
            </a:graphic>
          </wp:inline>
        </w:drawing>
      </w:r>
    </w:p>
    <w:p>
      <w:pPr>
        <w:pStyle w:val="54"/>
        <w:pBdr>
          <w:top w:val="single" w:color="4472C4" w:sz="6" w:space="6"/>
          <w:bottom w:val="single" w:color="4472C4" w:sz="6" w:space="6"/>
        </w:pBdr>
        <w:spacing w:after="240"/>
        <w:jc w:val="center"/>
        <w:rPr>
          <w:rFonts w:hint="eastAsia" w:ascii="宋体" w:hAnsi="宋体"/>
          <w:caps/>
          <w:color w:val="000000"/>
          <w:sz w:val="52"/>
          <w:szCs w:val="52"/>
        </w:rPr>
      </w:pPr>
      <w:r>
        <w:rPr>
          <w:rFonts w:hint="eastAsia" w:ascii="宋体" w:hAnsi="宋体"/>
          <w:caps/>
          <w:color w:val="000000"/>
          <w:sz w:val="52"/>
          <w:szCs w:val="52"/>
        </w:rPr>
        <w:t>佛山市第二人民医院</w:t>
      </w:r>
    </w:p>
    <w:p>
      <w:pPr>
        <w:pStyle w:val="54"/>
        <w:pBdr>
          <w:top w:val="single" w:color="4472C4" w:sz="6" w:space="6"/>
          <w:bottom w:val="single" w:color="4472C4" w:sz="6" w:space="6"/>
        </w:pBdr>
        <w:spacing w:after="240"/>
        <w:jc w:val="center"/>
        <w:rPr>
          <w:rFonts w:hint="eastAsia" w:ascii="宋体" w:hAnsi="宋体"/>
          <w:caps/>
          <w:color w:val="000000"/>
          <w:sz w:val="52"/>
          <w:szCs w:val="52"/>
        </w:rPr>
      </w:pPr>
      <w:r>
        <w:rPr>
          <w:rFonts w:hint="eastAsia" w:ascii="宋体" w:hAnsi="宋体"/>
          <w:caps/>
          <w:color w:val="000000"/>
          <w:sz w:val="52"/>
          <w:szCs w:val="52"/>
          <w:lang w:val="en-US" w:eastAsia="zh-CN"/>
        </w:rPr>
        <w:t>一院两区</w:t>
      </w:r>
      <w:r>
        <w:rPr>
          <w:rFonts w:hint="eastAsia" w:ascii="宋体" w:hAnsi="宋体"/>
          <w:caps/>
          <w:color w:val="000000"/>
          <w:sz w:val="52"/>
          <w:szCs w:val="52"/>
        </w:rPr>
        <w:t>网络安全</w:t>
      </w:r>
      <w:r>
        <w:rPr>
          <w:rFonts w:hint="eastAsia" w:ascii="宋体" w:hAnsi="宋体"/>
          <w:caps/>
          <w:color w:val="000000"/>
          <w:sz w:val="52"/>
          <w:szCs w:val="52"/>
          <w:lang w:val="en-US" w:eastAsia="zh-CN"/>
        </w:rPr>
        <w:t>运维</w:t>
      </w:r>
      <w:r>
        <w:rPr>
          <w:rFonts w:hint="eastAsia" w:ascii="宋体" w:hAnsi="宋体"/>
          <w:caps/>
          <w:color w:val="000000"/>
          <w:sz w:val="52"/>
          <w:szCs w:val="52"/>
        </w:rPr>
        <w:t>服务项目需求书</w:t>
      </w:r>
    </w:p>
    <w:p>
      <w:pPr>
        <w:pStyle w:val="54"/>
        <w:spacing w:before="480"/>
        <w:jc w:val="center"/>
      </w:pPr>
      <w:r>
        <mc:AlternateContent>
          <mc:Choice Requires="wps">
            <w:drawing>
              <wp:anchor distT="0" distB="0" distL="114300" distR="114300" simplePos="0" relativeHeight="251660288" behindDoc="0" locked="0" layoutInCell="1" allowOverlap="1">
                <wp:simplePos x="0" y="0"/>
                <wp:positionH relativeFrom="page">
                  <wp:posOffset>1118870</wp:posOffset>
                </wp:positionH>
                <wp:positionV relativeFrom="page">
                  <wp:posOffset>8589010</wp:posOffset>
                </wp:positionV>
                <wp:extent cx="5273040" cy="591185"/>
                <wp:effectExtent l="0" t="0" r="0" b="0"/>
                <wp:wrapNone/>
                <wp:docPr id="9" name="文本框 142"/>
                <wp:cNvGraphicFramePr/>
                <a:graphic xmlns:a="http://schemas.openxmlformats.org/drawingml/2006/main">
                  <a:graphicData uri="http://schemas.microsoft.com/office/word/2010/wordprocessingShape">
                    <wps:wsp>
                      <wps:cNvSpPr txBox="1">
                        <a:spLocks noChangeArrowheads="1"/>
                      </wps:cNvSpPr>
                      <wps:spPr bwMode="auto">
                        <a:xfrm>
                          <a:off x="0" y="0"/>
                          <a:ext cx="5273040" cy="591185"/>
                        </a:xfrm>
                        <a:prstGeom prst="rect">
                          <a:avLst/>
                        </a:prstGeom>
                        <a:noFill/>
                        <a:ln>
                          <a:noFill/>
                        </a:ln>
                      </wps:spPr>
                      <wps:txbx>
                        <w:txbxContent>
                          <w:p>
                            <w:pPr>
                              <w:pStyle w:val="54"/>
                              <w:jc w:val="center"/>
                              <w:rPr>
                                <w:color w:val="000000"/>
                                <w:sz w:val="24"/>
                                <w:szCs w:val="24"/>
                              </w:rPr>
                            </w:pPr>
                          </w:p>
                        </w:txbxContent>
                      </wps:txbx>
                      <wps:bodyPr rot="0" vert="horz" wrap="square" lIns="0" tIns="0" rIns="0" bIns="0" anchor="b" anchorCtr="0" upright="1">
                        <a:noAutofit/>
                      </wps:bodyPr>
                    </wps:wsp>
                  </a:graphicData>
                </a:graphic>
                <wp14:sizeRelH relativeFrom="margin">
                  <wp14:pctWidth>100000</wp14:pctWidth>
                </wp14:sizeRelH>
                <wp14:sizeRelV relativeFrom="page">
                  <wp14:pctHeight>0</wp14:pctHeight>
                </wp14:sizeRelV>
              </wp:anchor>
            </w:drawing>
          </mc:Choice>
          <mc:Fallback>
            <w:pict>
              <v:shape id="文本框 142" o:spid="_x0000_s1026" o:spt="202" type="#_x0000_t202" style="position:absolute;left:0pt;margin-left:88.1pt;margin-top:676.3pt;height:46.55pt;width:415.2pt;mso-position-horizontal-relative:page;mso-position-vertical-relative:page;z-index:251660288;v-text-anchor:bottom;mso-width-relative:margin;mso-height-relative:page;mso-width-percent:1000;" filled="f" stroked="f" coordsize="21600,21600" o:gfxdata="UEsDBAoAAAAAAIdO4kAAAAAAAAAAAAAAAAAEAAAAZHJzL1BLAwQUAAAACACHTuJARNo7V9sAAAAO&#10;AQAADwAAAGRycy9kb3ducmV2LnhtbE2PzU7DMBCE70i8g7VIXBC1E9oUhTiVQOqFAzTl7+rGJo4a&#10;ryPbbcrbsz3BbUY7mvm2Wp3cwI4mxN6jhGwmgBlsve6xk/D+tr69BxaTQq0Gj0bCj4mwqi8vKlVq&#10;P2FjjtvUMSrBWCoJNqWx5Dy21jgVZ340SLdvH5xKZEPHdVATlbuB50IU3KkeacGq0TxZ0+63Byfh&#10;Ru+byW9exPrjOeSbz9fHr8w2Ul5fZeIBWDKn9BeGMz6hQ01MO39AHdlAflnkFCVxt8gLYOcIDZLa&#10;kZrPF0vgdcX/v1H/AlBLAwQUAAAACACHTuJAq1gugvUBAAC5AwAADgAAAGRycy9lMm9Eb2MueG1s&#10;rVPBbtQwEL0j8Q+W72w2SxfaaLNVaVWEVChS4QMcx0ksEo8ZezdZPoD+AScu3Ptd+x2Mnc1S4Ia4&#10;WBPPzPObNy+r86Fr2Vah02Byns7mnCkjodSmzvnHD9fPTjlzXphStGBUznfK8fP10yer3mZqAQ20&#10;pUJGIMZlvc15473NksTJRnXCzcAqQ8kKsBOePrFOShQ9oXdtspjPXyQ9YGkRpHKObq/GJF9H/KpS&#10;0t9WlVOetTknbj6eGM8inMl6JbIahW20PNAQ/8CiE9rQo0eoK+EF26D+C6rTEsFB5WcSugSqSksV&#10;Z6Bp0vkf09w1wqo4C4nj7FEm9/9g5bvte2S6zPkZZ0Z0tKL9t/v994f9j68sPVkEgXrrMqq7s1Tp&#10;h1cw0KLjsM7egPzkmIHLRphaXSBC3yhREsE0dCaPWkccF0CK/i2U9JLYeIhAQ4VdUI/0YIROi9od&#10;l6MGzyRdLhcvn89PKCUptzxL09NlfEJkU7dF518r6FgIco60/IgutjfOBzYim0rCYwauddtGA7Tm&#10;twsqDDeRfSA8UvdDMRzUKKDc0RwIo5/I/xQ0gF8468lLOXefNwIVZ+0bQ1oE400BTkExBcJIas15&#10;wdkYXvrRoBuLum4IeVTbwAXpVek4ShB2ZHHgSf6IEx68HAz4+DtW/frj1j8B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aQQAAFtDb250ZW50X1R5&#10;cGVzXS54bWxQSwECFAAKAAAAAACHTuJAAAAAAAAAAAAAAAAABgAAAAAAAAAAABAAAABLAwAAX3Jl&#10;bHMvUEsBAhQAFAAAAAgAh07iQIoUZjzRAAAAlAEAAAsAAAAAAAAAAQAgAAAAbwMAAF9yZWxzLy5y&#10;ZWxzUEsBAhQACgAAAAAAh07iQAAAAAAAAAAAAAAAAAQAAAAAAAAAAAAQAAAAAAAAAGRycy9QSwEC&#10;FAAUAAAACACHTuJARNo7V9sAAAAOAQAADwAAAAAAAAABACAAAAAiAAAAZHJzL2Rvd25yZXYueG1s&#10;UEsBAhQAFAAAAAgAh07iQKtYLoL1AQAAuQMAAA4AAAAAAAAAAQAgAAAAKgEAAGRycy9lMm9Eb2Mu&#10;eG1sUEsFBgAAAAAGAAYAWQEAAJEFAAAAAA==&#10;">
                <v:fill on="f" focussize="0,0"/>
                <v:stroke on="f"/>
                <v:imagedata o:title=""/>
                <o:lock v:ext="edit" aspectratio="f"/>
                <v:textbox inset="0mm,0mm,0mm,0mm">
                  <w:txbxContent>
                    <w:p>
                      <w:pPr>
                        <w:pStyle w:val="54"/>
                        <w:jc w:val="center"/>
                        <w:rPr>
                          <w:color w:val="000000"/>
                          <w:sz w:val="24"/>
                          <w:szCs w:val="24"/>
                        </w:rPr>
                      </w:pPr>
                    </w:p>
                  </w:txbxContent>
                </v:textbox>
              </v:shape>
            </w:pict>
          </mc:Fallback>
        </mc:AlternateContent>
      </w:r>
      <w:r>
        <w:rPr>
          <w:color w:val="4472C4"/>
        </w:rPr>
        <w:drawing>
          <wp:inline distT="0" distB="0" distL="0" distR="0">
            <wp:extent cx="757555" cy="487680"/>
            <wp:effectExtent l="0" t="0" r="0" b="0"/>
            <wp:docPr id="11" name="图片 1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图片 144"/>
                    <pic:cNvPicPr>
                      <a:picLocks noChangeAspect="1"/>
                    </pic:cNvPicPr>
                  </pic:nvPicPr>
                  <pic:blipFill>
                    <a:blip r:embed="rId8" cstate="print">
                      <a:duotone>
                        <a:schemeClr val="accent1">
                          <a:shade val="45000"/>
                          <a:satMod val="135000"/>
                        </a:schemeClr>
                        <a:prstClr val="white"/>
                      </a:duotone>
                    </a:blip>
                    <a:stretch>
                      <a:fillRect/>
                    </a:stretch>
                  </pic:blipFill>
                  <pic:spPr>
                    <a:xfrm>
                      <a:off x="0" y="0"/>
                      <a:ext cx="757555" cy="487680"/>
                    </a:xfrm>
                    <a:prstGeom prst="rect">
                      <a:avLst/>
                    </a:prstGeom>
                  </pic:spPr>
                </pic:pic>
              </a:graphicData>
            </a:graphic>
          </wp:inline>
        </w:drawing>
      </w:r>
    </w:p>
    <w:p>
      <w:pPr>
        <w:pStyle w:val="2"/>
        <w:numPr>
          <w:ilvl w:val="0"/>
          <w:numId w:val="3"/>
        </w:numPr>
        <w:ind w:left="0" w:firstLine="0"/>
        <w:sectPr>
          <w:headerReference r:id="rId3" w:type="default"/>
          <w:pgSz w:w="11907" w:h="16839"/>
          <w:pgMar w:top="1440" w:right="1800" w:bottom="1440" w:left="1800" w:header="720" w:footer="720" w:gutter="0"/>
          <w:pgNumType w:start="0"/>
          <w:cols w:space="720" w:num="1"/>
          <w:titlePg/>
          <w:docGrid w:linePitch="326" w:charSpace="0"/>
        </w:sectPr>
      </w:pPr>
    </w:p>
    <w:p>
      <w:pPr>
        <w:pStyle w:val="2"/>
        <w:numPr>
          <w:ilvl w:val="0"/>
          <w:numId w:val="3"/>
        </w:numPr>
        <w:ind w:left="0" w:firstLine="0"/>
      </w:pPr>
      <w:r>
        <w:rPr>
          <w:rFonts w:hint="eastAsia"/>
        </w:rPr>
        <w:t>项目名称</w:t>
      </w:r>
    </w:p>
    <w:p>
      <w:pPr>
        <w:ind w:firstLine="480" w:firstLineChars="200"/>
        <w:rPr>
          <w:rFonts w:hint="eastAsia"/>
        </w:rPr>
      </w:pPr>
      <w:r>
        <w:t>2025</w:t>
      </w:r>
      <w:r>
        <w:rPr>
          <w:rFonts w:hint="eastAsia"/>
        </w:rPr>
        <w:t>年</w:t>
      </w:r>
      <w:r>
        <w:rPr>
          <w:rFonts w:hint="eastAsia"/>
          <w:lang w:val="en-US" w:eastAsia="zh-CN"/>
        </w:rPr>
        <w:t>一院两区</w:t>
      </w:r>
      <w:r>
        <w:rPr>
          <w:rFonts w:hint="eastAsia"/>
        </w:rPr>
        <w:t>网络安全服务项目。</w:t>
      </w:r>
    </w:p>
    <w:p>
      <w:pPr>
        <w:pStyle w:val="2"/>
        <w:numPr>
          <w:ilvl w:val="0"/>
          <w:numId w:val="3"/>
        </w:numPr>
        <w:ind w:left="0" w:firstLine="0"/>
      </w:pPr>
      <w:r>
        <w:rPr>
          <w:rFonts w:hint="eastAsia"/>
        </w:rPr>
        <w:t>项目的主要内容</w:t>
      </w:r>
    </w:p>
    <w:tbl>
      <w:tblPr>
        <w:tblStyle w:val="33"/>
        <w:tblW w:w="852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24"/>
        <w:gridCol w:w="2884"/>
        <w:gridCol w:w="753"/>
        <w:gridCol w:w="1505"/>
        <w:gridCol w:w="1379"/>
        <w:gridCol w:w="137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4" w:hRule="atLeast"/>
        </w:trPr>
        <w:tc>
          <w:tcPr>
            <w:tcW w:w="624" w:type="dxa"/>
            <w:vAlign w:val="center"/>
          </w:tcPr>
          <w:p>
            <w:pPr>
              <w:widowControl w:val="0"/>
              <w:spacing w:line="240" w:lineRule="auto"/>
              <w:jc w:val="center"/>
              <w:rPr>
                <w:rFonts w:hint="eastAsia" w:cs="仿宋"/>
                <w:kern w:val="2"/>
                <w:szCs w:val="24"/>
              </w:rPr>
            </w:pPr>
            <w:r>
              <w:rPr>
                <w:rFonts w:hint="eastAsia" w:cs="仿宋"/>
                <w:kern w:val="2"/>
                <w:szCs w:val="24"/>
              </w:rPr>
              <w:t>序号</w:t>
            </w:r>
          </w:p>
        </w:tc>
        <w:tc>
          <w:tcPr>
            <w:tcW w:w="2884" w:type="dxa"/>
            <w:vAlign w:val="center"/>
          </w:tcPr>
          <w:p>
            <w:pPr>
              <w:widowControl w:val="0"/>
              <w:spacing w:line="240" w:lineRule="auto"/>
              <w:jc w:val="center"/>
              <w:rPr>
                <w:rFonts w:hint="eastAsia" w:cs="仿宋"/>
                <w:kern w:val="2"/>
                <w:szCs w:val="24"/>
              </w:rPr>
            </w:pPr>
            <w:r>
              <w:rPr>
                <w:rFonts w:hint="eastAsia" w:cs="仿宋"/>
                <w:kern w:val="2"/>
                <w:szCs w:val="24"/>
              </w:rPr>
              <w:t>项目内容</w:t>
            </w:r>
          </w:p>
        </w:tc>
        <w:tc>
          <w:tcPr>
            <w:tcW w:w="753" w:type="dxa"/>
            <w:vAlign w:val="center"/>
          </w:tcPr>
          <w:p>
            <w:pPr>
              <w:widowControl w:val="0"/>
              <w:spacing w:line="240" w:lineRule="auto"/>
              <w:jc w:val="center"/>
              <w:rPr>
                <w:rFonts w:hint="eastAsia" w:cs="仿宋"/>
                <w:kern w:val="2"/>
                <w:szCs w:val="24"/>
              </w:rPr>
            </w:pPr>
            <w:r>
              <w:rPr>
                <w:rFonts w:hint="eastAsia" w:cs="仿宋"/>
                <w:kern w:val="2"/>
                <w:szCs w:val="24"/>
              </w:rPr>
              <w:t>数量</w:t>
            </w:r>
          </w:p>
        </w:tc>
        <w:tc>
          <w:tcPr>
            <w:tcW w:w="1505" w:type="dxa"/>
            <w:vAlign w:val="center"/>
          </w:tcPr>
          <w:p>
            <w:pPr>
              <w:widowControl w:val="0"/>
              <w:spacing w:line="240" w:lineRule="auto"/>
              <w:jc w:val="center"/>
              <w:rPr>
                <w:rFonts w:hint="eastAsia" w:cs="仿宋"/>
                <w:color w:val="FF0000"/>
                <w:kern w:val="2"/>
                <w:szCs w:val="24"/>
              </w:rPr>
            </w:pPr>
            <w:r>
              <w:rPr>
                <w:rFonts w:hint="eastAsia" w:cs="仿宋"/>
                <w:color w:val="000000" w:themeColor="text1"/>
                <w:kern w:val="2"/>
                <w:szCs w:val="24"/>
                <w14:textFill>
                  <w14:solidFill>
                    <w14:schemeClr w14:val="tx1"/>
                  </w14:solidFill>
                </w14:textFill>
              </w:rPr>
              <w:t>单位</w:t>
            </w:r>
          </w:p>
        </w:tc>
        <w:tc>
          <w:tcPr>
            <w:tcW w:w="1379" w:type="dxa"/>
            <w:vAlign w:val="center"/>
          </w:tcPr>
          <w:p>
            <w:pPr>
              <w:widowControl w:val="0"/>
              <w:spacing w:line="240" w:lineRule="auto"/>
              <w:jc w:val="center"/>
              <w:rPr>
                <w:rFonts w:hint="eastAsia" w:cs="仿宋"/>
                <w:color w:val="auto"/>
                <w:kern w:val="2"/>
                <w:szCs w:val="24"/>
              </w:rPr>
            </w:pPr>
            <w:r>
              <w:rPr>
                <w:rFonts w:hint="eastAsia" w:cs="仿宋"/>
                <w:color w:val="auto"/>
                <w:kern w:val="2"/>
                <w:szCs w:val="24"/>
              </w:rPr>
              <w:t>金额（万）</w:t>
            </w:r>
          </w:p>
        </w:tc>
        <w:tc>
          <w:tcPr>
            <w:tcW w:w="1378" w:type="dxa"/>
            <w:vAlign w:val="center"/>
          </w:tcPr>
          <w:p>
            <w:pPr>
              <w:widowControl w:val="0"/>
              <w:spacing w:line="240" w:lineRule="auto"/>
              <w:jc w:val="center"/>
              <w:rPr>
                <w:rFonts w:hint="eastAsia" w:cs="仿宋"/>
                <w:kern w:val="2"/>
                <w:szCs w:val="24"/>
              </w:rPr>
            </w:pPr>
            <w:r>
              <w:rPr>
                <w:rFonts w:hint="eastAsia" w:cs="仿宋"/>
                <w:kern w:val="2"/>
                <w:szCs w:val="24"/>
              </w:rPr>
              <w:t>期限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9" w:hRule="atLeast"/>
        </w:trPr>
        <w:tc>
          <w:tcPr>
            <w:tcW w:w="624" w:type="dxa"/>
            <w:vAlign w:val="center"/>
          </w:tcPr>
          <w:p>
            <w:pPr>
              <w:widowControl w:val="0"/>
              <w:spacing w:line="240" w:lineRule="auto"/>
              <w:jc w:val="center"/>
              <w:rPr>
                <w:rFonts w:hint="eastAsia" w:cs="仿宋"/>
                <w:kern w:val="2"/>
                <w:szCs w:val="24"/>
              </w:rPr>
            </w:pPr>
            <w:r>
              <w:rPr>
                <w:rFonts w:hint="eastAsia" w:cs="仿宋"/>
                <w:kern w:val="2"/>
                <w:szCs w:val="24"/>
              </w:rPr>
              <w:t>1</w:t>
            </w:r>
          </w:p>
        </w:tc>
        <w:tc>
          <w:tcPr>
            <w:tcW w:w="2884" w:type="dxa"/>
            <w:vAlign w:val="center"/>
          </w:tcPr>
          <w:p>
            <w:pPr>
              <w:widowControl w:val="0"/>
              <w:spacing w:line="240" w:lineRule="auto"/>
              <w:jc w:val="center"/>
              <w:rPr>
                <w:rFonts w:hint="eastAsia" w:cs="仿宋"/>
                <w:kern w:val="2"/>
                <w:szCs w:val="24"/>
              </w:rPr>
            </w:pPr>
            <w:r>
              <w:rPr>
                <w:rFonts w:hint="eastAsia" w:cs="仿宋"/>
                <w:kern w:val="2"/>
                <w:szCs w:val="24"/>
              </w:rPr>
              <w:t>网络安全服务</w:t>
            </w:r>
          </w:p>
        </w:tc>
        <w:tc>
          <w:tcPr>
            <w:tcW w:w="753" w:type="dxa"/>
            <w:vAlign w:val="center"/>
          </w:tcPr>
          <w:p>
            <w:pPr>
              <w:widowControl w:val="0"/>
              <w:spacing w:line="240" w:lineRule="auto"/>
              <w:jc w:val="center"/>
              <w:rPr>
                <w:rFonts w:hint="eastAsia" w:cs="仿宋"/>
                <w:kern w:val="2"/>
                <w:szCs w:val="24"/>
              </w:rPr>
            </w:pPr>
            <w:r>
              <w:rPr>
                <w:rFonts w:hint="eastAsia" w:cs="仿宋"/>
                <w:kern w:val="2"/>
                <w:szCs w:val="24"/>
              </w:rPr>
              <w:t>1</w:t>
            </w:r>
          </w:p>
        </w:tc>
        <w:tc>
          <w:tcPr>
            <w:tcW w:w="1505" w:type="dxa"/>
            <w:vAlign w:val="center"/>
          </w:tcPr>
          <w:p>
            <w:pPr>
              <w:widowControl w:val="0"/>
              <w:spacing w:line="240" w:lineRule="auto"/>
              <w:jc w:val="center"/>
              <w:rPr>
                <w:rFonts w:hint="eastAsia" w:cs="仿宋"/>
                <w:color w:val="000000" w:themeColor="text1"/>
                <w:kern w:val="2"/>
                <w:szCs w:val="24"/>
                <w14:textFill>
                  <w14:solidFill>
                    <w14:schemeClr w14:val="tx1"/>
                  </w14:solidFill>
                </w14:textFill>
              </w:rPr>
            </w:pPr>
            <w:r>
              <w:rPr>
                <w:rFonts w:hint="eastAsia" w:cs="仿宋"/>
                <w:color w:val="000000" w:themeColor="text1"/>
                <w:kern w:val="2"/>
                <w:szCs w:val="24"/>
                <w14:textFill>
                  <w14:solidFill>
                    <w14:schemeClr w14:val="tx1"/>
                  </w14:solidFill>
                </w14:textFill>
              </w:rPr>
              <w:t>项</w:t>
            </w:r>
          </w:p>
        </w:tc>
        <w:tc>
          <w:tcPr>
            <w:tcW w:w="1379" w:type="dxa"/>
            <w:vAlign w:val="center"/>
          </w:tcPr>
          <w:p>
            <w:pPr>
              <w:widowControl w:val="0"/>
              <w:spacing w:line="240" w:lineRule="auto"/>
              <w:jc w:val="center"/>
              <w:rPr>
                <w:rFonts w:hint="eastAsia" w:cs="仿宋"/>
                <w:color w:val="auto"/>
                <w:kern w:val="2"/>
                <w:szCs w:val="24"/>
              </w:rPr>
            </w:pPr>
            <w:r>
              <w:rPr>
                <w:rFonts w:hint="eastAsia" w:cs="仿宋"/>
                <w:color w:val="auto"/>
                <w:kern w:val="2"/>
                <w:szCs w:val="24"/>
              </w:rPr>
              <w:t>60</w:t>
            </w:r>
          </w:p>
        </w:tc>
        <w:tc>
          <w:tcPr>
            <w:tcW w:w="1378" w:type="dxa"/>
            <w:vAlign w:val="center"/>
          </w:tcPr>
          <w:p>
            <w:pPr>
              <w:widowControl w:val="0"/>
              <w:spacing w:line="240" w:lineRule="auto"/>
              <w:jc w:val="center"/>
              <w:rPr>
                <w:rFonts w:hint="eastAsia" w:cs="仿宋"/>
                <w:kern w:val="2"/>
                <w:szCs w:val="24"/>
              </w:rPr>
            </w:pPr>
            <w:r>
              <w:rPr>
                <w:rFonts w:hint="eastAsia" w:cs="仿宋"/>
                <w:kern w:val="2"/>
                <w:szCs w:val="24"/>
              </w:rPr>
              <w:t>1年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44" w:hRule="atLeast"/>
        </w:trPr>
        <w:tc>
          <w:tcPr>
            <w:tcW w:w="5766" w:type="dxa"/>
            <w:gridSpan w:val="4"/>
            <w:vAlign w:val="center"/>
          </w:tcPr>
          <w:p>
            <w:pPr>
              <w:widowControl w:val="0"/>
              <w:spacing w:line="240" w:lineRule="auto"/>
              <w:jc w:val="center"/>
              <w:rPr>
                <w:rFonts w:hint="eastAsia" w:cs="仿宋"/>
                <w:kern w:val="2"/>
                <w:szCs w:val="24"/>
              </w:rPr>
            </w:pPr>
            <w:r>
              <w:rPr>
                <w:rFonts w:hint="eastAsia" w:cs="仿宋"/>
                <w:kern w:val="2"/>
                <w:szCs w:val="24"/>
              </w:rPr>
              <w:t>合计：（单位人民币元）</w:t>
            </w:r>
          </w:p>
        </w:tc>
        <w:tc>
          <w:tcPr>
            <w:tcW w:w="2757" w:type="dxa"/>
            <w:gridSpan w:val="2"/>
            <w:vAlign w:val="center"/>
          </w:tcPr>
          <w:p>
            <w:pPr>
              <w:widowControl w:val="0"/>
              <w:spacing w:line="240" w:lineRule="auto"/>
              <w:jc w:val="center"/>
              <w:rPr>
                <w:rFonts w:hint="eastAsia" w:cs="仿宋"/>
                <w:kern w:val="2"/>
                <w:szCs w:val="24"/>
              </w:rPr>
            </w:pPr>
          </w:p>
        </w:tc>
      </w:tr>
    </w:tbl>
    <w:p>
      <w:pPr>
        <w:ind w:firstLine="480" w:firstLineChars="200"/>
        <w:rPr>
          <w:rFonts w:hint="eastAsia"/>
        </w:rPr>
      </w:pPr>
    </w:p>
    <w:p>
      <w:pPr>
        <w:ind w:firstLine="480" w:firstLineChars="200"/>
        <w:rPr>
          <w:rFonts w:hint="eastAsia"/>
        </w:rPr>
      </w:pPr>
    </w:p>
    <w:p>
      <w:pPr>
        <w:pStyle w:val="2"/>
        <w:numPr>
          <w:ilvl w:val="0"/>
          <w:numId w:val="3"/>
        </w:numPr>
        <w:ind w:left="0" w:firstLine="0"/>
      </w:pPr>
      <w:r>
        <w:rPr>
          <w:rFonts w:hint="eastAsia"/>
        </w:rPr>
        <w:t>项目预算</w:t>
      </w:r>
    </w:p>
    <w:p>
      <w:pPr>
        <w:ind w:firstLine="480" w:firstLineChars="200"/>
        <w:rPr>
          <w:rFonts w:hint="eastAsia"/>
        </w:rPr>
      </w:pPr>
      <w:r>
        <w:rPr>
          <w:rFonts w:hint="eastAsia"/>
        </w:rPr>
        <w:t>3</w:t>
      </w:r>
      <w:r>
        <w:t>.1</w:t>
      </w:r>
      <w:r>
        <w:rPr>
          <w:rFonts w:hint="eastAsia"/>
        </w:rPr>
        <w:t xml:space="preserve"> 项目预算</w:t>
      </w:r>
      <w:r>
        <w:t>人民币小写：</w:t>
      </w:r>
      <w:r>
        <w:rPr>
          <w:rFonts w:hint="eastAsia"/>
        </w:rPr>
        <w:t>600000</w:t>
      </w:r>
      <w:r>
        <w:t>元，大写：</w:t>
      </w:r>
      <w:r>
        <w:rPr>
          <w:rFonts w:hint="eastAsia"/>
        </w:rPr>
        <w:t>陆拾万元整。</w:t>
      </w:r>
    </w:p>
    <w:p>
      <w:pPr>
        <w:ind w:firstLine="480" w:firstLineChars="200"/>
        <w:rPr>
          <w:rFonts w:hint="eastAsia"/>
        </w:rPr>
      </w:pPr>
      <w:r>
        <w:rPr>
          <w:rFonts w:hint="eastAsia"/>
        </w:rPr>
        <w:t>3</w:t>
      </w:r>
      <w:r>
        <w:t>.2</w:t>
      </w:r>
      <w:r>
        <w:rPr>
          <w:rFonts w:hint="eastAsia"/>
        </w:rPr>
        <w:t xml:space="preserve"> 项目预算</w:t>
      </w:r>
      <w:r>
        <w:t>总额</w:t>
      </w:r>
      <w:r>
        <w:rPr>
          <w:rFonts w:hint="eastAsia"/>
        </w:rPr>
        <w:t>应</w:t>
      </w:r>
      <w:r>
        <w:t>包括</w:t>
      </w:r>
      <w:r>
        <w:rPr>
          <w:rFonts w:hint="eastAsia"/>
        </w:rPr>
        <w:t>网络安全服务的实施</w:t>
      </w:r>
      <w:r>
        <w:t>、技术人员的工勤费用（包括工资、福利、交通、住宿、通讯费用等）全额含税发票、雇员费用、</w:t>
      </w:r>
      <w:r>
        <w:rPr>
          <w:rFonts w:hint="eastAsia"/>
        </w:rPr>
        <w:t>项目</w:t>
      </w:r>
      <w:r>
        <w:t>实施过程中的应预见或不可预见费用等。甲方无须向乙方支付除上述本</w:t>
      </w:r>
      <w:r>
        <w:rPr>
          <w:rFonts w:hint="eastAsia"/>
        </w:rPr>
        <w:t>项目</w:t>
      </w:r>
      <w:r>
        <w:t>价款总额之外的任何费用及款项。</w:t>
      </w:r>
    </w:p>
    <w:p>
      <w:pPr>
        <w:ind w:firstLine="480" w:firstLineChars="200"/>
        <w:rPr>
          <w:rFonts w:hint="eastAsia"/>
        </w:rPr>
      </w:pPr>
      <w:r>
        <w:rPr>
          <w:rFonts w:hint="eastAsia"/>
        </w:rPr>
        <w:t>3</w:t>
      </w:r>
      <w:r>
        <w:t>.3</w:t>
      </w:r>
      <w:r>
        <w:rPr>
          <w:rFonts w:hint="eastAsia"/>
        </w:rPr>
        <w:t xml:space="preserve"> </w:t>
      </w:r>
      <w:r>
        <w:t>价格为固定不变价，天数为公历日。</w:t>
      </w:r>
    </w:p>
    <w:p>
      <w:pPr>
        <w:pStyle w:val="2"/>
        <w:numPr>
          <w:ilvl w:val="0"/>
          <w:numId w:val="3"/>
        </w:numPr>
        <w:ind w:left="0" w:firstLine="0"/>
      </w:pPr>
      <w:r>
        <w:rPr>
          <w:rFonts w:hint="eastAsia"/>
        </w:rPr>
        <w:t>付款方式</w:t>
      </w:r>
    </w:p>
    <w:p>
      <w:pPr>
        <w:pStyle w:val="97"/>
        <w:spacing w:before="0" w:beforeAutospacing="0" w:after="0" w:afterAutospacing="0" w:line="324" w:lineRule="atLeast"/>
        <w:jc w:val="both"/>
        <w:rPr>
          <w:rStyle w:val="98"/>
          <w:rFonts w:hint="eastAsia" w:ascii="-webkit-standard" w:hAnsi="-webkit-standard"/>
          <w:color w:val="000000"/>
        </w:rPr>
      </w:pPr>
      <w:r>
        <w:rPr>
          <w:rStyle w:val="98"/>
          <w:rFonts w:hint="eastAsia"/>
          <w:color w:val="000000"/>
        </w:rPr>
        <w:t>1、签订合同后，从服务期限起始之日开始按</w:t>
      </w:r>
      <w:r>
        <w:rPr>
          <w:rStyle w:val="98"/>
          <w:rFonts w:hint="eastAsia"/>
          <w:color w:val="000000"/>
          <w:lang w:val="en-US" w:eastAsia="zh-CN"/>
        </w:rPr>
        <w:t>半年</w:t>
      </w:r>
      <w:r>
        <w:rPr>
          <w:rStyle w:val="98"/>
          <w:rFonts w:hint="eastAsia"/>
          <w:color w:val="000000"/>
        </w:rPr>
        <w:t>结算（每次</w:t>
      </w:r>
      <w:r>
        <w:rPr>
          <w:rStyle w:val="98"/>
          <w:rFonts w:hint="eastAsia"/>
          <w:color w:val="000000"/>
          <w:lang w:val="en-US" w:eastAsia="zh-CN"/>
        </w:rPr>
        <w:t>支付</w:t>
      </w:r>
      <w:r>
        <w:rPr>
          <w:rStyle w:val="98"/>
          <w:rFonts w:hint="eastAsia"/>
          <w:color w:val="000000"/>
        </w:rPr>
        <w:t>合同款</w:t>
      </w:r>
      <w:r>
        <w:rPr>
          <w:rStyle w:val="98"/>
          <w:rFonts w:hint="eastAsia"/>
          <w:color w:val="000000"/>
          <w:lang w:val="en-US" w:eastAsia="zh-CN"/>
        </w:rPr>
        <w:t>50</w:t>
      </w:r>
      <w:r>
        <w:rPr>
          <w:rStyle w:val="98"/>
          <w:rFonts w:hint="eastAsia"/>
          <w:color w:val="000000"/>
        </w:rPr>
        <w:t>%金额）。</w:t>
      </w:r>
    </w:p>
    <w:p>
      <w:pPr>
        <w:pStyle w:val="101"/>
        <w:spacing w:before="0" w:beforeAutospacing="0" w:after="0" w:afterAutospacing="0" w:line="324" w:lineRule="atLeast"/>
        <w:jc w:val="both"/>
        <w:rPr>
          <w:rFonts w:hint="eastAsia" w:ascii="-webkit-standard" w:hAnsi="-webkit-standard"/>
          <w:color w:val="000000"/>
        </w:rPr>
      </w:pPr>
      <w:r>
        <w:rPr>
          <w:rStyle w:val="98"/>
          <w:rFonts w:hint="eastAsia"/>
          <w:color w:val="000000"/>
        </w:rPr>
        <w:t>3.收款时乙方必须向甲方提供有效等额含税发票，发票必须遵循属地管理原则。</w:t>
      </w:r>
    </w:p>
    <w:p>
      <w:pPr>
        <w:tabs>
          <w:tab w:val="left" w:pos="780"/>
        </w:tabs>
        <w:ind w:firstLine="360" w:firstLineChars="150"/>
        <w:rPr>
          <w:rFonts w:hint="eastAsia" w:cs="宋体"/>
          <w:highlight w:val="yellow"/>
        </w:rPr>
      </w:pPr>
    </w:p>
    <w:p>
      <w:pPr>
        <w:pStyle w:val="2"/>
        <w:numPr>
          <w:ilvl w:val="0"/>
          <w:numId w:val="3"/>
        </w:numPr>
        <w:ind w:left="0" w:firstLine="0"/>
      </w:pPr>
      <w:r>
        <w:rPr>
          <w:rFonts w:hint="eastAsia"/>
        </w:rPr>
        <w:t>服务地点及交付期</w:t>
      </w:r>
    </w:p>
    <w:p>
      <w:pPr>
        <w:ind w:firstLine="480" w:firstLineChars="200"/>
        <w:rPr>
          <w:rFonts w:hint="eastAsia"/>
        </w:rPr>
      </w:pPr>
      <w:r>
        <w:rPr>
          <w:rFonts w:hint="eastAsia"/>
        </w:rPr>
        <w:t>5</w:t>
      </w:r>
      <w:r>
        <w:t>.1</w:t>
      </w:r>
      <w:r>
        <w:rPr>
          <w:rFonts w:hint="eastAsia"/>
        </w:rPr>
        <w:t xml:space="preserve"> </w:t>
      </w:r>
      <w:r>
        <w:t>服务地点：</w:t>
      </w:r>
      <w:r>
        <w:rPr>
          <w:rFonts w:hint="eastAsia"/>
        </w:rPr>
        <w:t>佛山市</w:t>
      </w:r>
      <w:r>
        <w:t>第二人民医院。</w:t>
      </w:r>
    </w:p>
    <w:p>
      <w:pPr>
        <w:ind w:firstLine="480" w:firstLineChars="200"/>
        <w:rPr>
          <w:rFonts w:hint="eastAsia"/>
        </w:rPr>
      </w:pPr>
      <w:r>
        <w:rPr>
          <w:rFonts w:hint="eastAsia"/>
        </w:rPr>
        <w:t>5</w:t>
      </w:r>
      <w:r>
        <w:t>.2</w:t>
      </w:r>
      <w:r>
        <w:rPr>
          <w:rFonts w:hint="eastAsia"/>
        </w:rPr>
        <w:t xml:space="preserve"> 交付</w:t>
      </w:r>
      <w:r>
        <w:t xml:space="preserve">期： </w:t>
      </w:r>
      <w:r>
        <w:rPr>
          <w:rFonts w:hint="eastAsia"/>
        </w:rPr>
        <w:t>签订合同日起</w:t>
      </w:r>
    </w:p>
    <w:p>
      <w:pPr>
        <w:ind w:firstLine="480" w:firstLineChars="200"/>
        <w:rPr>
          <w:rFonts w:hint="eastAsia"/>
        </w:rPr>
      </w:pPr>
      <w:r>
        <w:t>5.2.1</w:t>
      </w:r>
      <w:r>
        <w:rPr>
          <w:rFonts w:hint="eastAsia"/>
        </w:rPr>
        <w:t>网络安全服务周期为一年，以合同签订之日起开始。</w:t>
      </w:r>
    </w:p>
    <w:p>
      <w:pPr>
        <w:pStyle w:val="2"/>
        <w:numPr>
          <w:ilvl w:val="0"/>
          <w:numId w:val="3"/>
        </w:numPr>
        <w:ind w:left="0" w:firstLine="0"/>
      </w:pPr>
      <w:r>
        <w:rPr>
          <w:rFonts w:hint="eastAsia"/>
        </w:rPr>
        <w:t>验收标准与要求</w:t>
      </w:r>
    </w:p>
    <w:p>
      <w:pPr>
        <w:ind w:firstLine="480" w:firstLineChars="200"/>
        <w:rPr>
          <w:rFonts w:hint="eastAsia"/>
        </w:rPr>
      </w:pPr>
      <w:r>
        <w:rPr>
          <w:rFonts w:hint="eastAsia"/>
        </w:rPr>
        <w:t>6</w:t>
      </w:r>
      <w:r>
        <w:t>.1</w:t>
      </w:r>
      <w:r>
        <w:rPr>
          <w:rFonts w:hint="eastAsia"/>
        </w:rPr>
        <w:t xml:space="preserve"> </w:t>
      </w:r>
      <w:r>
        <w:t>验收标准：验收的主要依据包括本招标</w:t>
      </w:r>
      <w:r>
        <w:rPr>
          <w:rFonts w:hint="eastAsia"/>
        </w:rPr>
        <w:t>论证</w:t>
      </w:r>
      <w:r>
        <w:t>需求书、投标文件、合同文件。</w:t>
      </w:r>
    </w:p>
    <w:p>
      <w:pPr>
        <w:ind w:firstLine="480" w:firstLineChars="200"/>
        <w:rPr>
          <w:rFonts w:hint="eastAsia"/>
        </w:rPr>
      </w:pPr>
      <w:r>
        <w:rPr>
          <w:rFonts w:hint="eastAsia"/>
        </w:rPr>
        <w:t>6</w:t>
      </w:r>
      <w:r>
        <w:t>.2</w:t>
      </w:r>
      <w:r>
        <w:rPr>
          <w:rFonts w:hint="eastAsia"/>
        </w:rPr>
        <w:t xml:space="preserve"> </w:t>
      </w:r>
      <w:r>
        <w:t>项目所有工作内容完成以后，由乙方提交验收申请，由甲方组织验收小组，负责对项目进行全面验收，项目验收依次序对照执行标准为：①符合中华人民共和国国家和履约地相关安全质量标准、行业技术规范标准；②符合采购文件和响应承诺中各方共同认可的各项要求；③双方约定的其他验收标准。</w:t>
      </w:r>
    </w:p>
    <w:p>
      <w:pPr>
        <w:ind w:firstLine="480" w:firstLineChars="200"/>
        <w:rPr>
          <w:rFonts w:hint="eastAsia"/>
        </w:rPr>
      </w:pPr>
      <w:r>
        <w:rPr>
          <w:rFonts w:hint="eastAsia"/>
        </w:rPr>
        <w:t>6</w:t>
      </w:r>
      <w:r>
        <w:t>.3</w:t>
      </w:r>
      <w:r>
        <w:rPr>
          <w:rFonts w:hint="eastAsia"/>
        </w:rPr>
        <w:t xml:space="preserve"> </w:t>
      </w:r>
      <w:r>
        <w:t>项目完工后乙方向甲方提供项目期间的各种文档，项目的终验需通过项目管理部门的总体验收，并由项目管理部门出具符合性验收报告，乙方须为验收提供必需的设备、工具及其他便利条件。</w:t>
      </w:r>
    </w:p>
    <w:p>
      <w:pPr>
        <w:ind w:firstLine="480" w:firstLineChars="200"/>
        <w:rPr>
          <w:rFonts w:hint="eastAsia"/>
        </w:rPr>
      </w:pPr>
      <w:r>
        <w:rPr>
          <w:rFonts w:hint="eastAsia"/>
        </w:rPr>
        <w:t>6</w:t>
      </w:r>
      <w:r>
        <w:t>.4</w:t>
      </w:r>
      <w:r>
        <w:rPr>
          <w:rFonts w:hint="eastAsia"/>
        </w:rPr>
        <w:t xml:space="preserve"> </w:t>
      </w:r>
      <w:r>
        <w:t>在甲方的监督下，各项工作和文档须达到招标文件中技术要求的标准。</w:t>
      </w:r>
    </w:p>
    <w:p>
      <w:pPr>
        <w:ind w:firstLine="480" w:firstLineChars="200"/>
        <w:rPr>
          <w:rFonts w:hint="eastAsia"/>
        </w:rPr>
      </w:pPr>
      <w:r>
        <w:rPr>
          <w:rFonts w:hint="eastAsia"/>
        </w:rPr>
        <w:t>6</w:t>
      </w:r>
      <w:r>
        <w:t>.5</w:t>
      </w:r>
      <w:r>
        <w:rPr>
          <w:rFonts w:hint="eastAsia"/>
        </w:rPr>
        <w:t xml:space="preserve"> 项目验收时乙方需要提交以下项目文档：</w:t>
      </w:r>
    </w:p>
    <w:p>
      <w:pPr>
        <w:ind w:firstLine="480" w:firstLineChars="200"/>
        <w:rPr>
          <w:rFonts w:hint="eastAsia"/>
        </w:rPr>
      </w:pPr>
      <w:r>
        <w:rPr>
          <w:rFonts w:hint="eastAsia"/>
        </w:rPr>
        <w:t>6</w:t>
      </w:r>
      <w:r>
        <w:t xml:space="preserve">.5.1 </w:t>
      </w:r>
      <w:r>
        <w:rPr>
          <w:rFonts w:hint="eastAsia"/>
        </w:rPr>
        <w:t>网络安全服务需在各项服务过程中按照服务要求交付各项服务成果及过程相关材料。</w:t>
      </w:r>
    </w:p>
    <w:p>
      <w:pPr>
        <w:pStyle w:val="2"/>
        <w:numPr>
          <w:ilvl w:val="0"/>
          <w:numId w:val="3"/>
        </w:numPr>
        <w:ind w:left="0" w:firstLine="0"/>
      </w:pPr>
      <w:r>
        <w:rPr>
          <w:rFonts w:hint="eastAsia"/>
        </w:rPr>
        <w:t>质保期及售后服务要求</w:t>
      </w:r>
    </w:p>
    <w:p>
      <w:pPr>
        <w:widowControl w:val="0"/>
        <w:ind w:firstLine="480" w:firstLineChars="200"/>
        <w:jc w:val="both"/>
        <w:rPr>
          <w:rFonts w:hint="eastAsia"/>
        </w:rPr>
      </w:pPr>
      <w:r>
        <w:rPr>
          <w:rFonts w:hint="eastAsia"/>
          <w:snapToGrid w:val="0"/>
          <w:color w:val="000000"/>
          <w:szCs w:val="24"/>
        </w:rPr>
        <w:t>7</w:t>
      </w:r>
      <w:r>
        <w:rPr>
          <w:snapToGrid w:val="0"/>
          <w:color w:val="000000"/>
          <w:szCs w:val="24"/>
        </w:rPr>
        <w:t xml:space="preserve">.1 </w:t>
      </w:r>
      <w:r>
        <w:rPr>
          <w:rFonts w:hint="eastAsia"/>
          <w:snapToGrid w:val="0"/>
          <w:color w:val="000000"/>
          <w:szCs w:val="24"/>
        </w:rPr>
        <w:t>合同签订之日起一年内，发生信息安全事件，乙方应提供</w:t>
      </w:r>
      <w:r>
        <w:rPr>
          <w:snapToGrid w:val="0"/>
          <w:color w:val="000000"/>
          <w:szCs w:val="24"/>
        </w:rPr>
        <w:t>7x24</w:t>
      </w:r>
      <w:r>
        <w:rPr>
          <w:rFonts w:hint="eastAsia"/>
          <w:snapToGrid w:val="0"/>
          <w:color w:val="000000"/>
          <w:szCs w:val="24"/>
        </w:rPr>
        <w:t>小时应急服务。对甲方的服务通知，乙方接报后</w:t>
      </w:r>
      <w:r>
        <w:rPr>
          <w:rFonts w:hint="eastAsia"/>
          <w:snapToGrid w:val="0"/>
          <w:color w:val="000000"/>
          <w:szCs w:val="24"/>
          <w:lang w:val="en-US" w:eastAsia="zh-CN"/>
        </w:rPr>
        <w:t>10分钟</w:t>
      </w:r>
      <w:r>
        <w:rPr>
          <w:rFonts w:hint="eastAsia"/>
          <w:snapToGrid w:val="0"/>
          <w:color w:val="000000"/>
          <w:szCs w:val="24"/>
        </w:rPr>
        <w:t>内响应，</w:t>
      </w:r>
      <w:r>
        <w:rPr>
          <w:rFonts w:hint="eastAsia"/>
          <w:snapToGrid w:val="0"/>
          <w:color w:val="000000"/>
          <w:szCs w:val="24"/>
          <w:lang w:val="en-US" w:eastAsia="zh-CN"/>
        </w:rPr>
        <w:t>1</w:t>
      </w:r>
      <w:r>
        <w:rPr>
          <w:rFonts w:hint="eastAsia"/>
          <w:snapToGrid w:val="0"/>
          <w:color w:val="000000"/>
          <w:szCs w:val="24"/>
        </w:rPr>
        <w:t>小时内到达现场，</w:t>
      </w:r>
      <w:r>
        <w:rPr>
          <w:rFonts w:hint="eastAsia"/>
          <w:snapToGrid w:val="0"/>
          <w:color w:val="000000"/>
          <w:szCs w:val="24"/>
          <w:lang w:val="en-US" w:eastAsia="zh-CN"/>
        </w:rPr>
        <w:t>3</w:t>
      </w:r>
      <w:r>
        <w:rPr>
          <w:rFonts w:hint="eastAsia"/>
          <w:snapToGrid w:val="0"/>
          <w:color w:val="000000"/>
          <w:szCs w:val="24"/>
        </w:rPr>
        <w:t>小时内处理完毕，不得影响甲方的正常工作业务。</w:t>
      </w:r>
    </w:p>
    <w:p>
      <w:pPr>
        <w:pStyle w:val="2"/>
        <w:numPr>
          <w:ilvl w:val="0"/>
          <w:numId w:val="3"/>
        </w:numPr>
        <w:ind w:left="0" w:firstLine="0"/>
      </w:pPr>
      <w:r>
        <w:rPr>
          <w:rFonts w:hint="eastAsia"/>
        </w:rPr>
        <w:t>知识产权</w:t>
      </w:r>
    </w:p>
    <w:p>
      <w:pPr>
        <w:ind w:firstLine="480" w:firstLineChars="200"/>
        <w:rPr>
          <w:rFonts w:hint="eastAsia"/>
        </w:rPr>
      </w:pPr>
      <w:r>
        <w:rPr>
          <w:rFonts w:hint="eastAsia"/>
          <w:szCs w:val="24"/>
        </w:rPr>
        <w:t>本项目知识产权归甲方所有。</w:t>
      </w:r>
    </w:p>
    <w:p>
      <w:pPr>
        <w:pStyle w:val="2"/>
        <w:numPr>
          <w:ilvl w:val="0"/>
          <w:numId w:val="3"/>
        </w:numPr>
        <w:ind w:left="0" w:firstLine="0"/>
      </w:pPr>
      <w:r>
        <w:rPr>
          <w:rFonts w:hint="eastAsia"/>
        </w:rPr>
        <w:t>违约责任</w:t>
      </w:r>
    </w:p>
    <w:p>
      <w:pPr>
        <w:ind w:firstLine="480" w:firstLineChars="200"/>
        <w:rPr>
          <w:rFonts w:hint="eastAsia"/>
        </w:rPr>
      </w:pPr>
      <w:r>
        <w:rPr>
          <w:rFonts w:hint="eastAsia"/>
        </w:rPr>
        <w:t>9</w:t>
      </w:r>
      <w:r>
        <w:t>.1</w:t>
      </w:r>
      <w:r>
        <w:rPr>
          <w:rFonts w:hint="eastAsia"/>
        </w:rPr>
        <w:t xml:space="preserve"> </w:t>
      </w:r>
      <w:r>
        <w:rPr>
          <w:rFonts w:hint="eastAsia"/>
          <w:szCs w:val="24"/>
        </w:rPr>
        <w:t>乙方交付的服务报告或提供的服务经甲方3次提出修改仍明显不符合招标文件、投标文件、本合同规定或甲方需求的，甲方有权终止合同，有权拒收和拒绝支付合同款项，并且乙方应将其已收到的本合同价款退还给甲方，并向甲方支付本合同总价5%的违约金。</w:t>
      </w:r>
    </w:p>
    <w:p>
      <w:pPr>
        <w:ind w:firstLine="480" w:firstLineChars="200"/>
        <w:rPr>
          <w:rFonts w:hint="eastAsia"/>
        </w:rPr>
      </w:pPr>
      <w:r>
        <w:rPr>
          <w:rFonts w:hint="eastAsia"/>
        </w:rPr>
        <w:t>9</w:t>
      </w:r>
      <w:r>
        <w:t>.2</w:t>
      </w:r>
      <w:r>
        <w:rPr>
          <w:rFonts w:hint="eastAsia"/>
        </w:rPr>
        <w:t xml:space="preserve"> 乙方未按本合同约定时间完成安全服务交付，甲方将收取违约金，违约金额以合同总额为基数按每日3</w:t>
      </w:r>
      <w:r>
        <w:t>‰计算, 直至交付完毕为止；逾期15日以上，甲方有权终止合同，由此造成甲方的经济损失由乙方承担。违约金不足以弥补损失的，乙方应按全额赔偿。</w:t>
      </w:r>
    </w:p>
    <w:p>
      <w:pPr>
        <w:ind w:firstLine="480" w:firstLineChars="200"/>
        <w:rPr>
          <w:rFonts w:hint="eastAsia"/>
        </w:rPr>
      </w:pPr>
      <w:r>
        <w:rPr>
          <w:rFonts w:hint="eastAsia"/>
        </w:rPr>
        <w:t>9</w:t>
      </w:r>
      <w:r>
        <w:t>.3</w:t>
      </w:r>
      <w:r>
        <w:rPr>
          <w:rFonts w:hint="eastAsia"/>
        </w:rPr>
        <w:t xml:space="preserve"> 如果合同各方因不可抗力而导致合同实施延误或不能履行合同义务的话，不承担合同违约责任义务。</w:t>
      </w:r>
    </w:p>
    <w:p>
      <w:pPr>
        <w:ind w:firstLine="480" w:firstLineChars="200"/>
        <w:rPr>
          <w:rFonts w:hint="eastAsia"/>
        </w:rPr>
      </w:pPr>
      <w:r>
        <w:rPr>
          <w:rFonts w:hint="eastAsia"/>
        </w:rPr>
        <w:t>9</w:t>
      </w:r>
      <w:r>
        <w:t>.4</w:t>
      </w:r>
      <w:r>
        <w:rPr>
          <w:rFonts w:hint="eastAsia"/>
        </w:rPr>
        <w:t xml:space="preserve"> 任何一方违反合同约定，应当赔偿因其违约给对方造成的损失，该损失范围包括但不限于守约方维权所支出的律师费、诉讼费、保全费、财产保全担保费、执行费、鉴定费、差旅费等。</w:t>
      </w:r>
    </w:p>
    <w:p>
      <w:pPr>
        <w:ind w:firstLine="480" w:firstLineChars="200"/>
        <w:rPr>
          <w:rFonts w:hint="eastAsia"/>
        </w:rPr>
      </w:pPr>
      <w:r>
        <w:rPr>
          <w:rFonts w:hint="eastAsia"/>
        </w:rPr>
        <w:t>9</w:t>
      </w:r>
      <w:r>
        <w:t>.5</w:t>
      </w:r>
      <w:r>
        <w:rPr>
          <w:rFonts w:hint="eastAsia"/>
        </w:rPr>
        <w:t xml:space="preserve"> 如合同一方违反本合同其他约定的，违约方应赔偿守约方因违约方的违约行为而遭受的一切损失。本条约定可与其他违约责任同时适用。</w:t>
      </w:r>
    </w:p>
    <w:p>
      <w:pPr>
        <w:ind w:firstLine="480" w:firstLineChars="200"/>
        <w:rPr>
          <w:rFonts w:hint="eastAsia"/>
        </w:rPr>
      </w:pPr>
      <w:r>
        <w:rPr>
          <w:rFonts w:hint="eastAsia"/>
        </w:rPr>
        <w:t>9</w:t>
      </w:r>
      <w:r>
        <w:t>.6</w:t>
      </w:r>
      <w:r>
        <w:rPr>
          <w:rFonts w:hint="eastAsia"/>
        </w:rPr>
        <w:t xml:space="preserve"> </w:t>
      </w:r>
      <w:r>
        <w:t>其它违约责任按《中华人民共和国民法典》</w:t>
      </w:r>
      <w:r>
        <w:rPr>
          <w:rFonts w:hint="eastAsia"/>
        </w:rPr>
        <w:t>等相关法律规定</w:t>
      </w:r>
      <w:r>
        <w:t>处理。</w:t>
      </w:r>
    </w:p>
    <w:p>
      <w:pPr>
        <w:pStyle w:val="2"/>
        <w:numPr>
          <w:ilvl w:val="0"/>
          <w:numId w:val="3"/>
        </w:numPr>
        <w:ind w:left="0" w:firstLine="0"/>
      </w:pPr>
      <w:r>
        <w:rPr>
          <w:rFonts w:hint="eastAsia"/>
        </w:rPr>
        <w:t>提出异议的时间和方法</w:t>
      </w:r>
    </w:p>
    <w:p>
      <w:pPr>
        <w:ind w:firstLine="480" w:firstLineChars="200"/>
        <w:rPr>
          <w:rFonts w:hint="eastAsia"/>
        </w:rPr>
      </w:pPr>
      <w:r>
        <w:rPr>
          <w:rFonts w:hint="eastAsia"/>
        </w:rPr>
        <w:t>10</w:t>
      </w:r>
      <w:r>
        <w:t>.1</w:t>
      </w:r>
      <w:r>
        <w:rPr>
          <w:rFonts w:hint="eastAsia"/>
        </w:rPr>
        <w:t xml:space="preserve"> 甲方在验收后如对服务质量有异议时，即向乙方提出书面异议。</w:t>
      </w:r>
    </w:p>
    <w:p>
      <w:pPr>
        <w:ind w:firstLine="480" w:firstLineChars="200"/>
        <w:rPr>
          <w:rFonts w:hint="eastAsia"/>
        </w:rPr>
      </w:pPr>
      <w:r>
        <w:rPr>
          <w:rFonts w:hint="eastAsia"/>
        </w:rPr>
        <w:t>10</w:t>
      </w:r>
      <w:r>
        <w:t>.2</w:t>
      </w:r>
      <w:r>
        <w:rPr>
          <w:rFonts w:hint="eastAsia"/>
        </w:rPr>
        <w:t xml:space="preserve"> </w:t>
      </w:r>
      <w:r>
        <w:t>乙方在接到甲方书面异议后，应在2天内负责处理并函复甲方处理情况，否则，即视为默认甲方提出的异议和处理意见。</w:t>
      </w:r>
    </w:p>
    <w:p>
      <w:pPr>
        <w:ind w:firstLine="480" w:firstLineChars="200"/>
        <w:rPr>
          <w:rFonts w:hint="eastAsia"/>
        </w:rPr>
      </w:pPr>
      <w:r>
        <w:rPr>
          <w:rFonts w:hint="eastAsia"/>
        </w:rPr>
        <w:t>10</w:t>
      </w:r>
      <w:r>
        <w:t>.3</w:t>
      </w:r>
      <w:r>
        <w:rPr>
          <w:rFonts w:hint="eastAsia"/>
        </w:rPr>
        <w:t xml:space="preserve"> </w:t>
      </w:r>
      <w:r>
        <w:t>乙方利用专业技术和行业信息优势之便，以不道德的手段，隐瞒和掩盖自身缔约过失，违背投标承诺和未尽义务，损害了甲方的合法权益，甲方在任何时候均可追究乙方的违约责任并索取赔偿，且不受验收程序、质保期和合同时效的限制。</w:t>
      </w:r>
    </w:p>
    <w:p>
      <w:pPr>
        <w:pStyle w:val="2"/>
        <w:numPr>
          <w:ilvl w:val="0"/>
          <w:numId w:val="3"/>
        </w:numPr>
        <w:ind w:left="0" w:firstLine="0"/>
      </w:pPr>
      <w:r>
        <w:rPr>
          <w:rFonts w:hint="eastAsia"/>
        </w:rPr>
        <w:t>保密要求</w:t>
      </w:r>
    </w:p>
    <w:p>
      <w:pPr>
        <w:ind w:firstLine="480" w:firstLineChars="200"/>
        <w:rPr>
          <w:rFonts w:hint="eastAsia"/>
        </w:rPr>
      </w:pPr>
      <w:r>
        <w:rPr>
          <w:rFonts w:hint="eastAsia"/>
        </w:rPr>
        <w:t>乙方必须如约承担合同履行时所应该尽的一切保密义务。乙方对甲方信息、项目实施过程中的资料、数据进行保密，未经甲方书面同意不得泄露给第三方，否则，甲方保留追究乙方法律责任的权利。保密责任不因合同的中止或解除而失效。</w:t>
      </w:r>
    </w:p>
    <w:p>
      <w:pPr>
        <w:pStyle w:val="2"/>
        <w:numPr>
          <w:ilvl w:val="0"/>
          <w:numId w:val="3"/>
        </w:numPr>
        <w:ind w:left="0" w:firstLine="0"/>
      </w:pPr>
      <w:r>
        <w:t>争议的解决</w:t>
      </w:r>
    </w:p>
    <w:p>
      <w:pPr>
        <w:ind w:firstLine="480" w:firstLineChars="200"/>
        <w:rPr>
          <w:rFonts w:hint="eastAsia"/>
        </w:rPr>
      </w:pPr>
      <w:r>
        <w:t>1</w:t>
      </w:r>
      <w:r>
        <w:rPr>
          <w:rFonts w:hint="eastAsia"/>
        </w:rPr>
        <w:t>2</w:t>
      </w:r>
      <w:r>
        <w:t>.1</w:t>
      </w:r>
      <w:r>
        <w:rPr>
          <w:rFonts w:hint="eastAsia"/>
        </w:rPr>
        <w:t xml:space="preserve"> 项目</w:t>
      </w:r>
      <w:r>
        <w:t>履行过程中发生的任何争议，如双方未能通过友好协商解决，应向甲方有管辖权的人民法院提起诉讼。对交付标的建设有争议的，统一由佛山市辖属的专业检测机构进行终局鉴定，鉴定结果符合质量技术标准时，鉴定费由委托方承担；否则鉴定费由乙方承担。</w:t>
      </w:r>
    </w:p>
    <w:p>
      <w:pPr>
        <w:ind w:firstLine="480" w:firstLineChars="200"/>
        <w:rPr>
          <w:rFonts w:hint="eastAsia"/>
        </w:rPr>
      </w:pPr>
      <w:r>
        <w:t>1</w:t>
      </w:r>
      <w:r>
        <w:rPr>
          <w:rFonts w:hint="eastAsia"/>
        </w:rPr>
        <w:t>2</w:t>
      </w:r>
      <w:r>
        <w:t>.2</w:t>
      </w:r>
      <w:r>
        <w:rPr>
          <w:rFonts w:hint="eastAsia"/>
        </w:rPr>
        <w:t xml:space="preserve"> </w:t>
      </w:r>
      <w:r>
        <w:t>法院审理期间，除提交法院审理的事项外，其它无争议的事项和条款仍应继续履行。</w:t>
      </w:r>
    </w:p>
    <w:p>
      <w:pPr>
        <w:pStyle w:val="2"/>
        <w:numPr>
          <w:ilvl w:val="0"/>
          <w:numId w:val="3"/>
        </w:numPr>
        <w:ind w:left="0" w:firstLine="0"/>
      </w:pPr>
      <w:r>
        <w:t>不可抗力</w:t>
      </w:r>
    </w:p>
    <w:p>
      <w:pPr>
        <w:ind w:firstLine="480" w:firstLineChars="200"/>
        <w:rPr>
          <w:rFonts w:hint="eastAsia"/>
        </w:rPr>
      </w:pPr>
      <w:r>
        <w:t>1</w:t>
      </w:r>
      <w:r>
        <w:rPr>
          <w:rFonts w:hint="eastAsia"/>
        </w:rPr>
        <w:t>3</w:t>
      </w:r>
      <w:r>
        <w:t>.1</w:t>
      </w:r>
      <w:r>
        <w:rPr>
          <w:rFonts w:hint="eastAsia"/>
        </w:rPr>
        <w:t xml:space="preserve"> </w:t>
      </w:r>
      <w:r>
        <w:t>本合同有效期内因自然灾害及因国家法律法规政策变更等人力不可抗拒的因素，造成合同及补充协议内容部分或全部不能履行，双方互不承担违约责任。但应在48小时内，将相关事件、可能引发后果等情况以书面形式通知另一方，并且在事件发生后十五天内，向另一方提交有关权威部门的证明，及本合同（包括补充协议）约定义务与责任不能履行或需要延期的报告。因不可抗力导致的安全责任及造成的损失，双方互不承担责任。</w:t>
      </w:r>
    </w:p>
    <w:p>
      <w:pPr>
        <w:ind w:firstLine="480" w:firstLineChars="200"/>
        <w:rPr>
          <w:rFonts w:hint="eastAsia"/>
        </w:rPr>
      </w:pPr>
      <w:r>
        <w:t>1</w:t>
      </w:r>
      <w:r>
        <w:rPr>
          <w:rFonts w:hint="eastAsia"/>
        </w:rPr>
        <w:t>3</w:t>
      </w:r>
      <w:r>
        <w:t>.2</w:t>
      </w:r>
      <w:r>
        <w:rPr>
          <w:rFonts w:hint="eastAsia"/>
        </w:rPr>
        <w:t xml:space="preserve"> </w:t>
      </w:r>
      <w:r>
        <w:t>乙方在项目执行过程中出现不可抗力因素影响继续履行合同的，乙方不承担相关责任，但乙方应在不可抗力因素消除后经甲方确认可按本合同约定及时恢复履行。</w:t>
      </w:r>
    </w:p>
    <w:p>
      <w:pPr>
        <w:pStyle w:val="2"/>
        <w:numPr>
          <w:ilvl w:val="0"/>
          <w:numId w:val="3"/>
        </w:numPr>
        <w:ind w:left="0" w:firstLine="0"/>
      </w:pPr>
      <w:r>
        <w:t>税费</w:t>
      </w:r>
    </w:p>
    <w:p>
      <w:pPr>
        <w:ind w:firstLine="480" w:firstLineChars="200"/>
        <w:rPr>
          <w:rFonts w:hint="eastAsia"/>
        </w:rPr>
      </w:pPr>
      <w:r>
        <w:t>1</w:t>
      </w:r>
      <w:r>
        <w:rPr>
          <w:rFonts w:hint="eastAsia"/>
        </w:rPr>
        <w:t>4</w:t>
      </w:r>
      <w:r>
        <w:t>.1</w:t>
      </w:r>
      <w:r>
        <w:rPr>
          <w:rFonts w:hint="eastAsia"/>
        </w:rPr>
        <w:t xml:space="preserve"> </w:t>
      </w:r>
      <w:r>
        <w:t>中国政府根据现行税法所征收的一切税费均由各缴税责任方独立承担。</w:t>
      </w:r>
    </w:p>
    <w:p>
      <w:pPr>
        <w:ind w:firstLine="480" w:firstLineChars="200"/>
        <w:rPr>
          <w:rFonts w:hint="eastAsia"/>
        </w:rPr>
      </w:pPr>
      <w:r>
        <w:t>1</w:t>
      </w:r>
      <w:r>
        <w:rPr>
          <w:rFonts w:hint="eastAsia"/>
        </w:rPr>
        <w:t>4</w:t>
      </w:r>
      <w:r>
        <w:t>.2</w:t>
      </w:r>
      <w:r>
        <w:rPr>
          <w:rFonts w:hint="eastAsia"/>
        </w:rPr>
        <w:t xml:space="preserve"> </w:t>
      </w:r>
      <w:r>
        <w:t>在中国境外发生的与合同相关一切税费及不可预见费均由乙方负担。</w:t>
      </w:r>
    </w:p>
    <w:p>
      <w:pPr>
        <w:pStyle w:val="2"/>
        <w:numPr>
          <w:ilvl w:val="0"/>
          <w:numId w:val="3"/>
        </w:numPr>
        <w:ind w:left="0" w:firstLine="0"/>
      </w:pPr>
      <w:r>
        <w:t>其他要求</w:t>
      </w:r>
    </w:p>
    <w:p>
      <w:pPr>
        <w:ind w:firstLine="480" w:firstLineChars="200"/>
        <w:rPr>
          <w:rFonts w:hint="eastAsia"/>
        </w:rPr>
      </w:pPr>
      <w:r>
        <w:t>1</w:t>
      </w:r>
      <w:r>
        <w:rPr>
          <w:rFonts w:hint="eastAsia"/>
        </w:rPr>
        <w:t>5</w:t>
      </w:r>
      <w:r>
        <w:t>.1</w:t>
      </w:r>
      <w:r>
        <w:rPr>
          <w:rFonts w:hint="eastAsia"/>
        </w:rPr>
        <w:t xml:space="preserve"> </w:t>
      </w:r>
      <w:r>
        <w:t>所有经一方或双方签署确认的文件（包括会议纪要、补充协议、往来信函）、采购文件、要约文件和响应承诺文件、合同附件及《中标通知书》均为本合同不可分割的有效组成部分，与本合同具有同等的法律效力和履约义务，其缔约生效日期为有效签署或盖章确认之日期。</w:t>
      </w:r>
    </w:p>
    <w:p>
      <w:pPr>
        <w:ind w:firstLine="480" w:firstLineChars="200"/>
        <w:rPr>
          <w:rFonts w:hint="eastAsia"/>
        </w:rPr>
      </w:pPr>
      <w:r>
        <w:t>1</w:t>
      </w:r>
      <w:r>
        <w:rPr>
          <w:rFonts w:hint="eastAsia"/>
        </w:rPr>
        <w:t>5</w:t>
      </w:r>
      <w:r>
        <w:t>.2</w:t>
      </w:r>
      <w:r>
        <w:rPr>
          <w:rFonts w:hint="eastAsia"/>
        </w:rPr>
        <w:t xml:space="preserve"> </w:t>
      </w:r>
      <w:r>
        <w:t>如一方地址、电话、传真号码有变更，应在变更当日内书面通知对方，否则，应承担相应责任。</w:t>
      </w:r>
    </w:p>
    <w:p>
      <w:pPr>
        <w:ind w:firstLine="480" w:firstLineChars="200"/>
        <w:rPr>
          <w:rFonts w:hint="eastAsia"/>
          <w:b/>
          <w:szCs w:val="24"/>
        </w:rPr>
      </w:pPr>
      <w:r>
        <w:t>1</w:t>
      </w:r>
      <w:r>
        <w:rPr>
          <w:rFonts w:hint="eastAsia"/>
        </w:rPr>
        <w:t>5</w:t>
      </w:r>
      <w:r>
        <w:t>.3</w:t>
      </w:r>
      <w:r>
        <w:rPr>
          <w:rFonts w:hint="eastAsia"/>
        </w:rPr>
        <w:t xml:space="preserve"> </w:t>
      </w:r>
      <w:r>
        <w:t>未经甲方书面同意，乙方不得擅自向第三方转让其主体性和关键性合同义务。</w:t>
      </w:r>
    </w:p>
    <w:p>
      <w:pPr>
        <w:pStyle w:val="31"/>
        <w:jc w:val="both"/>
      </w:pPr>
      <w:r>
        <w:br w:type="page"/>
      </w:r>
      <w:r>
        <w:rPr>
          <w:rFonts w:hint="eastAsia"/>
        </w:rPr>
        <w:t>附件</w:t>
      </w:r>
      <w:r>
        <w:t xml:space="preserve"> </w:t>
      </w:r>
      <w:r>
        <w:rPr>
          <w:rFonts w:hint="eastAsia"/>
        </w:rPr>
        <w:t>项目建设技术</w:t>
      </w:r>
      <w:r>
        <w:t>要求</w:t>
      </w:r>
    </w:p>
    <w:p>
      <w:pPr>
        <w:pStyle w:val="2"/>
        <w:numPr>
          <w:ilvl w:val="0"/>
          <w:numId w:val="3"/>
        </w:numPr>
        <w:ind w:left="0" w:firstLine="0"/>
        <w:rPr>
          <w:szCs w:val="24"/>
        </w:rPr>
      </w:pPr>
      <w:r>
        <w:rPr>
          <w:rFonts w:hint="eastAsia"/>
        </w:rPr>
        <w:t>项目背景</w:t>
      </w:r>
    </w:p>
    <w:p>
      <w:pPr>
        <w:ind w:firstLine="480" w:firstLineChars="200"/>
        <w:rPr>
          <w:rFonts w:hint="eastAsia" w:cs="宋体"/>
          <w:color w:val="000000"/>
          <w:szCs w:val="21"/>
        </w:rPr>
      </w:pPr>
      <w:r>
        <w:rPr>
          <w:rFonts w:hint="eastAsia" w:cs="宋体"/>
          <w:color w:val="000000"/>
          <w:szCs w:val="21"/>
        </w:rPr>
        <w:t>本项目主要是为佛山市第二人民医院提供网络安全服务。从落实医院网络安全工作，提升业务安全性，满足网络安全相关法律法规角度出发。通过网络安全服务管理现网安全设备，优化现有安全设备策略、深入分析安全设备告警，通过安全服务工作为医院建立起常态化的集预警、防护、处置、检查于一体的安全运营体系，使安全设备真正地用对、用好，发挥其作用。</w:t>
      </w:r>
    </w:p>
    <w:p>
      <w:pPr>
        <w:pStyle w:val="2"/>
        <w:numPr>
          <w:ilvl w:val="0"/>
          <w:numId w:val="3"/>
        </w:numPr>
        <w:ind w:left="0" w:firstLine="0"/>
      </w:pPr>
      <w:r>
        <w:rPr>
          <w:rFonts w:hint="eastAsia"/>
        </w:rPr>
        <w:t>项目</w:t>
      </w:r>
      <w:r>
        <w:t>原则</w:t>
      </w:r>
    </w:p>
    <w:p>
      <w:pPr>
        <w:ind w:firstLine="482"/>
        <w:rPr>
          <w:rFonts w:hint="eastAsia"/>
          <w:szCs w:val="24"/>
        </w:rPr>
      </w:pPr>
      <w:r>
        <w:rPr>
          <w:rFonts w:hint="eastAsia"/>
          <w:b/>
          <w:szCs w:val="24"/>
        </w:rPr>
        <w:t>符合性原则</w:t>
      </w:r>
      <w:r>
        <w:rPr>
          <w:rFonts w:hint="eastAsia"/>
          <w:szCs w:val="24"/>
        </w:rPr>
        <w:t>：符合国家信息安全等级保护制度及相关法律法规，指出防范的方针和保护的原则。</w:t>
      </w:r>
    </w:p>
    <w:p>
      <w:pPr>
        <w:ind w:firstLine="482"/>
        <w:rPr>
          <w:rFonts w:hint="eastAsia"/>
          <w:szCs w:val="24"/>
        </w:rPr>
      </w:pPr>
      <w:r>
        <w:rPr>
          <w:rFonts w:hint="eastAsia"/>
          <w:b/>
          <w:szCs w:val="24"/>
        </w:rPr>
        <w:t>标准性原则</w:t>
      </w:r>
      <w:r>
        <w:rPr>
          <w:rFonts w:hint="eastAsia"/>
          <w:szCs w:val="24"/>
        </w:rPr>
        <w:t>：方案设计与建议依据国内、国际的相关标准进行。</w:t>
      </w:r>
    </w:p>
    <w:p>
      <w:pPr>
        <w:ind w:firstLine="482"/>
        <w:rPr>
          <w:rFonts w:hint="eastAsia"/>
          <w:szCs w:val="24"/>
        </w:rPr>
      </w:pPr>
      <w:r>
        <w:rPr>
          <w:rFonts w:hint="eastAsia"/>
          <w:b/>
          <w:szCs w:val="24"/>
        </w:rPr>
        <w:t>整体性原则</w:t>
      </w:r>
      <w:r>
        <w:rPr>
          <w:rFonts w:hint="eastAsia"/>
          <w:szCs w:val="24"/>
        </w:rPr>
        <w:t>：方案中的安全体系设计的范围和内容应当整体全面，包括安全涉及的各个层面，避免由于遗漏造成未来的安全隐患。</w:t>
      </w:r>
    </w:p>
    <w:p>
      <w:pPr>
        <w:ind w:firstLine="482"/>
        <w:rPr>
          <w:rFonts w:hint="eastAsia"/>
          <w:szCs w:val="24"/>
        </w:rPr>
      </w:pPr>
      <w:r>
        <w:rPr>
          <w:rFonts w:hint="eastAsia"/>
          <w:b/>
          <w:szCs w:val="24"/>
        </w:rPr>
        <w:t>保密原则</w:t>
      </w:r>
      <w:r>
        <w:rPr>
          <w:rFonts w:hint="eastAsia"/>
          <w:szCs w:val="24"/>
        </w:rPr>
        <w:t>：对方案中获得的数据和结果严格保密，未经授权不得泄露给任何单位和个人，不得利用此数据和结果进行任何侵害用户单位利益的行为。</w:t>
      </w:r>
    </w:p>
    <w:p>
      <w:pPr>
        <w:pStyle w:val="2"/>
        <w:numPr>
          <w:ilvl w:val="0"/>
          <w:numId w:val="3"/>
        </w:numPr>
        <w:ind w:left="0" w:firstLine="0"/>
      </w:pPr>
      <w:r>
        <w:rPr>
          <w:rFonts w:hint="eastAsia"/>
        </w:rPr>
        <w:t>项目依据</w:t>
      </w:r>
    </w:p>
    <w:p>
      <w:pPr>
        <w:rPr>
          <w:rFonts w:hint="eastAsia"/>
          <w:b/>
        </w:rPr>
      </w:pPr>
      <w:r>
        <w:rPr>
          <w:rFonts w:hint="eastAsia"/>
          <w:b/>
          <w:color w:val="000000"/>
          <w:szCs w:val="21"/>
        </w:rPr>
        <w:t>（一）</w:t>
      </w:r>
      <w:r>
        <w:rPr>
          <w:rFonts w:hint="eastAsia"/>
          <w:b/>
        </w:rPr>
        <w:t>法律法规：</w:t>
      </w:r>
    </w:p>
    <w:p>
      <w:pPr>
        <w:pStyle w:val="55"/>
        <w:numPr>
          <w:ilvl w:val="1"/>
          <w:numId w:val="4"/>
        </w:numPr>
        <w:ind w:left="0" w:firstLine="480" w:firstLineChars="200"/>
      </w:pPr>
      <w:r>
        <w:rPr>
          <w:rFonts w:hint="eastAsia"/>
        </w:rPr>
        <w:t>《中华人民共和国网络安全法》；</w:t>
      </w:r>
    </w:p>
    <w:p>
      <w:pPr>
        <w:pStyle w:val="55"/>
        <w:numPr>
          <w:ilvl w:val="1"/>
          <w:numId w:val="4"/>
        </w:numPr>
        <w:ind w:left="0" w:firstLine="480" w:firstLineChars="200"/>
        <w:rPr>
          <w:rFonts w:hint="eastAsia" w:ascii="宋体" w:hAnsi="宋体"/>
        </w:rPr>
      </w:pPr>
      <w:r>
        <w:rPr>
          <w:rFonts w:hint="eastAsia"/>
        </w:rPr>
        <w:t>《中华人民共和国计算机信息系统安全保护条例》（国务</w:t>
      </w:r>
      <w:r>
        <w:rPr>
          <w:rFonts w:hint="eastAsia" w:ascii="宋体" w:hAnsi="宋体"/>
        </w:rPr>
        <w:t>院147号令）；</w:t>
      </w:r>
    </w:p>
    <w:p>
      <w:pPr>
        <w:pStyle w:val="55"/>
        <w:numPr>
          <w:ilvl w:val="1"/>
          <w:numId w:val="4"/>
        </w:numPr>
        <w:ind w:left="0" w:firstLine="480" w:firstLineChars="200"/>
        <w:rPr>
          <w:rFonts w:hint="eastAsia" w:ascii="宋体" w:hAnsi="宋体"/>
          <w:color w:val="000000"/>
          <w:szCs w:val="21"/>
        </w:rPr>
      </w:pPr>
      <w:r>
        <w:rPr>
          <w:rFonts w:hint="eastAsia" w:ascii="宋体" w:hAnsi="宋体"/>
          <w:color w:val="000000"/>
          <w:szCs w:val="21"/>
        </w:rPr>
        <w:t>《国家信息化领导小组关于加强信息安全保障工作的意见》（中办发[2003]27号）；</w:t>
      </w:r>
    </w:p>
    <w:p>
      <w:pPr>
        <w:pStyle w:val="55"/>
        <w:numPr>
          <w:ilvl w:val="1"/>
          <w:numId w:val="4"/>
        </w:numPr>
        <w:ind w:left="0" w:firstLine="480" w:firstLineChars="200"/>
        <w:rPr>
          <w:rFonts w:hint="eastAsia" w:ascii="宋体" w:hAnsi="宋体"/>
          <w:color w:val="000000"/>
          <w:szCs w:val="21"/>
        </w:rPr>
      </w:pPr>
      <w:r>
        <w:rPr>
          <w:rFonts w:hint="eastAsia" w:ascii="宋体" w:hAnsi="宋体"/>
          <w:color w:val="000000"/>
          <w:szCs w:val="21"/>
        </w:rPr>
        <w:t>《关于印发&lt;关于信息安全等级保护工作的实施意见&gt;的通知》（公通字[2004]66号文）；</w:t>
      </w:r>
    </w:p>
    <w:p>
      <w:pPr>
        <w:pStyle w:val="55"/>
        <w:numPr>
          <w:ilvl w:val="1"/>
          <w:numId w:val="4"/>
        </w:numPr>
        <w:ind w:left="0" w:firstLine="480" w:firstLineChars="200"/>
        <w:rPr>
          <w:rFonts w:hint="eastAsia" w:ascii="宋体" w:hAnsi="宋体"/>
          <w:color w:val="000000"/>
          <w:szCs w:val="21"/>
        </w:rPr>
      </w:pPr>
      <w:r>
        <w:rPr>
          <w:rFonts w:hint="eastAsia" w:ascii="宋体" w:hAnsi="宋体"/>
          <w:color w:val="000000"/>
          <w:szCs w:val="21"/>
        </w:rPr>
        <w:t>《关于印发&lt;信息安全等级保护管理办法&gt;的通知》（公通字[2007]43号文）；</w:t>
      </w:r>
    </w:p>
    <w:p>
      <w:pPr>
        <w:pStyle w:val="55"/>
        <w:numPr>
          <w:ilvl w:val="1"/>
          <w:numId w:val="4"/>
        </w:numPr>
        <w:ind w:left="0" w:firstLine="480" w:firstLineChars="200"/>
        <w:rPr>
          <w:rFonts w:hint="eastAsia" w:ascii="宋体" w:hAnsi="宋体"/>
          <w:color w:val="000000"/>
          <w:szCs w:val="21"/>
        </w:rPr>
      </w:pPr>
      <w:r>
        <w:rPr>
          <w:rFonts w:hint="eastAsia" w:ascii="宋体" w:hAnsi="宋体"/>
          <w:color w:val="000000"/>
          <w:szCs w:val="21"/>
        </w:rPr>
        <w:t>《关于开展全国重要信息系统安全等级保护定级工作的通知》（公信安[2007]861号文）；</w:t>
      </w:r>
    </w:p>
    <w:p>
      <w:pPr>
        <w:pStyle w:val="55"/>
        <w:numPr>
          <w:ilvl w:val="1"/>
          <w:numId w:val="4"/>
        </w:numPr>
        <w:ind w:left="0" w:firstLine="480" w:firstLineChars="200"/>
        <w:rPr>
          <w:rFonts w:hint="eastAsia" w:ascii="宋体" w:hAnsi="宋体"/>
          <w:color w:val="000000"/>
          <w:szCs w:val="21"/>
        </w:rPr>
      </w:pPr>
      <w:r>
        <w:rPr>
          <w:rFonts w:hint="eastAsia" w:ascii="宋体" w:hAnsi="宋体"/>
          <w:color w:val="000000"/>
          <w:szCs w:val="21"/>
        </w:rPr>
        <w:t>《广东省深化信息安全等级保护工作方案》(粤公通字[2010]45号)；</w:t>
      </w:r>
    </w:p>
    <w:p>
      <w:pPr>
        <w:pStyle w:val="55"/>
        <w:numPr>
          <w:ilvl w:val="1"/>
          <w:numId w:val="4"/>
        </w:numPr>
        <w:ind w:left="0" w:firstLine="480" w:firstLineChars="200"/>
        <w:rPr>
          <w:rFonts w:hint="eastAsia" w:ascii="宋体" w:hAnsi="宋体"/>
          <w:color w:val="000000"/>
          <w:szCs w:val="21"/>
        </w:rPr>
      </w:pPr>
      <w:r>
        <w:rPr>
          <w:rFonts w:ascii="宋体" w:hAnsi="宋体"/>
          <w:color w:val="000000"/>
          <w:szCs w:val="21"/>
        </w:rPr>
        <w:t>《国家网络与信息安全协调小组关于开展信息安全风险评估工作的意见》（国信办[2006]5号）</w:t>
      </w:r>
      <w:r>
        <w:rPr>
          <w:rFonts w:hint="eastAsia" w:ascii="宋体" w:hAnsi="宋体"/>
          <w:color w:val="000000"/>
          <w:szCs w:val="21"/>
        </w:rPr>
        <w:t>；</w:t>
      </w:r>
    </w:p>
    <w:p>
      <w:pPr>
        <w:pStyle w:val="55"/>
        <w:numPr>
          <w:ilvl w:val="1"/>
          <w:numId w:val="4"/>
        </w:numPr>
        <w:ind w:left="0" w:firstLine="480" w:firstLineChars="200"/>
        <w:rPr>
          <w:rFonts w:hint="eastAsia" w:ascii="宋体" w:hAnsi="宋体"/>
          <w:color w:val="000000"/>
          <w:szCs w:val="21"/>
        </w:rPr>
      </w:pPr>
      <w:r>
        <w:rPr>
          <w:rFonts w:hint="eastAsia" w:ascii="宋体" w:hAnsi="宋体"/>
          <w:color w:val="000000"/>
          <w:szCs w:val="21"/>
        </w:rPr>
        <w:t>《</w:t>
      </w:r>
      <w:bookmarkStart w:id="0" w:name="_Hlk492560589"/>
      <w:r>
        <w:rPr>
          <w:rFonts w:hint="eastAsia" w:ascii="宋体" w:hAnsi="宋体"/>
          <w:color w:val="000000"/>
          <w:szCs w:val="21"/>
        </w:rPr>
        <w:t>关键信息基础设施安全保护条例</w:t>
      </w:r>
      <w:bookmarkEnd w:id="0"/>
      <w:r>
        <w:rPr>
          <w:rFonts w:hint="eastAsia" w:ascii="宋体" w:hAnsi="宋体"/>
          <w:color w:val="000000"/>
          <w:szCs w:val="21"/>
        </w:rPr>
        <w:t>（征求意见稿）》；</w:t>
      </w:r>
    </w:p>
    <w:p>
      <w:pPr>
        <w:pStyle w:val="55"/>
        <w:numPr>
          <w:ilvl w:val="1"/>
          <w:numId w:val="4"/>
        </w:numPr>
        <w:ind w:left="0" w:firstLine="424" w:firstLineChars="177"/>
        <w:rPr>
          <w:rFonts w:hint="eastAsia" w:ascii="宋体" w:hAnsi="宋体"/>
          <w:color w:val="000000"/>
          <w:szCs w:val="21"/>
        </w:rPr>
      </w:pPr>
      <w:r>
        <w:rPr>
          <w:rFonts w:hint="eastAsia" w:ascii="宋体" w:hAnsi="宋体"/>
          <w:color w:val="000000"/>
          <w:szCs w:val="21"/>
        </w:rPr>
        <w:t>卫生部关于印发《卫生行业信息安全等级保护工作的指导意见》的通知 （卫办发[2011]85号）；</w:t>
      </w:r>
    </w:p>
    <w:p>
      <w:pPr>
        <w:pStyle w:val="55"/>
        <w:numPr>
          <w:ilvl w:val="1"/>
          <w:numId w:val="4"/>
        </w:numPr>
        <w:ind w:left="0" w:firstLine="424" w:firstLineChars="177"/>
        <w:rPr>
          <w:rFonts w:hint="eastAsia" w:ascii="宋体" w:hAnsi="宋体"/>
          <w:color w:val="000000"/>
          <w:szCs w:val="21"/>
        </w:rPr>
      </w:pPr>
      <w:r>
        <w:rPr>
          <w:rFonts w:hint="eastAsia" w:ascii="宋体" w:hAnsi="宋体"/>
          <w:color w:val="000000"/>
          <w:szCs w:val="21"/>
        </w:rPr>
        <w:t>卫生部办公厅《关于全面开展卫生行业信息安全等级保护工作》的通知（卫办综函[2011]1126号）。</w:t>
      </w:r>
    </w:p>
    <w:p>
      <w:pPr>
        <w:tabs>
          <w:tab w:val="left" w:pos="530"/>
        </w:tabs>
        <w:rPr>
          <w:rFonts w:hint="eastAsia"/>
          <w:b/>
          <w:color w:val="000000"/>
          <w:szCs w:val="21"/>
        </w:rPr>
      </w:pPr>
      <w:r>
        <w:rPr>
          <w:rFonts w:hint="eastAsia"/>
          <w:b/>
          <w:color w:val="000000"/>
          <w:szCs w:val="21"/>
        </w:rPr>
        <w:t>（二）技术标准：</w:t>
      </w:r>
    </w:p>
    <w:p>
      <w:pPr>
        <w:pStyle w:val="55"/>
        <w:numPr>
          <w:ilvl w:val="0"/>
          <w:numId w:val="5"/>
        </w:numPr>
        <w:ind w:left="0" w:firstLine="480" w:firstLineChars="200"/>
        <w:rPr>
          <w:rFonts w:hint="eastAsia" w:ascii="宋体" w:hAnsi="宋体"/>
          <w:color w:val="000000"/>
          <w:szCs w:val="21"/>
        </w:rPr>
      </w:pPr>
      <w:r>
        <w:rPr>
          <w:rFonts w:hint="eastAsia" w:ascii="宋体" w:hAnsi="宋体"/>
          <w:color w:val="000000"/>
          <w:szCs w:val="21"/>
        </w:rPr>
        <w:t>《信息安全技术 网络安全等级保护安全设计技术要求》（GB/T 25070-2019）；</w:t>
      </w:r>
    </w:p>
    <w:p>
      <w:pPr>
        <w:pStyle w:val="55"/>
        <w:numPr>
          <w:ilvl w:val="0"/>
          <w:numId w:val="5"/>
        </w:numPr>
        <w:ind w:left="0" w:firstLine="480" w:firstLineChars="200"/>
        <w:rPr>
          <w:rFonts w:hint="eastAsia" w:ascii="宋体" w:hAnsi="宋体"/>
          <w:color w:val="000000"/>
          <w:szCs w:val="21"/>
        </w:rPr>
      </w:pPr>
      <w:r>
        <w:rPr>
          <w:rFonts w:hint="eastAsia" w:ascii="宋体" w:hAnsi="宋体"/>
          <w:color w:val="000000"/>
          <w:szCs w:val="21"/>
        </w:rPr>
        <w:t>《信息安全技术 网络安全等级保护测评要求》（GB/T 28448-2019）；</w:t>
      </w:r>
    </w:p>
    <w:p>
      <w:pPr>
        <w:pStyle w:val="55"/>
        <w:numPr>
          <w:ilvl w:val="0"/>
          <w:numId w:val="5"/>
        </w:numPr>
        <w:ind w:left="0" w:firstLine="480" w:firstLineChars="200"/>
        <w:rPr>
          <w:rFonts w:hint="eastAsia" w:ascii="宋体" w:hAnsi="宋体"/>
          <w:color w:val="000000"/>
          <w:szCs w:val="21"/>
        </w:rPr>
      </w:pPr>
      <w:r>
        <w:rPr>
          <w:rFonts w:hint="eastAsia" w:ascii="宋体" w:hAnsi="宋体"/>
          <w:color w:val="000000"/>
          <w:szCs w:val="21"/>
        </w:rPr>
        <w:t>《信息安全技术 网络安全等级保护基本要求》（GB/T 22239-2019）；</w:t>
      </w:r>
    </w:p>
    <w:p>
      <w:pPr>
        <w:pStyle w:val="55"/>
        <w:numPr>
          <w:ilvl w:val="0"/>
          <w:numId w:val="5"/>
        </w:numPr>
        <w:ind w:left="0" w:firstLine="480" w:firstLineChars="200"/>
        <w:rPr>
          <w:rFonts w:hint="eastAsia" w:ascii="宋体" w:hAnsi="宋体"/>
          <w:color w:val="000000"/>
          <w:szCs w:val="21"/>
        </w:rPr>
      </w:pPr>
      <w:r>
        <w:rPr>
          <w:rFonts w:hint="eastAsia"/>
        </w:rPr>
        <w:t>《</w:t>
      </w:r>
      <w:r>
        <w:rPr>
          <w:rFonts w:hint="eastAsia" w:ascii="宋体" w:hAnsi="宋体"/>
          <w:color w:val="000000"/>
          <w:szCs w:val="21"/>
        </w:rPr>
        <w:t>信息系统安全等级保护定级指南》（GB T 22240-20２０）</w:t>
      </w:r>
    </w:p>
    <w:p>
      <w:pPr>
        <w:pStyle w:val="55"/>
        <w:numPr>
          <w:ilvl w:val="0"/>
          <w:numId w:val="5"/>
        </w:numPr>
        <w:ind w:left="0" w:firstLine="480" w:firstLineChars="200"/>
        <w:rPr>
          <w:rFonts w:hint="eastAsia" w:ascii="宋体" w:hAnsi="宋体"/>
          <w:color w:val="000000"/>
          <w:szCs w:val="21"/>
        </w:rPr>
      </w:pPr>
      <w:r>
        <w:rPr>
          <w:rFonts w:hint="eastAsia" w:ascii="宋体" w:hAnsi="宋体"/>
          <w:color w:val="000000"/>
          <w:szCs w:val="21"/>
        </w:rPr>
        <w:t>《信息安全技术网络安全等级保护测评过程指南》（GB T 28449-2018）</w:t>
      </w:r>
    </w:p>
    <w:p>
      <w:pPr>
        <w:pStyle w:val="55"/>
        <w:numPr>
          <w:ilvl w:val="0"/>
          <w:numId w:val="5"/>
        </w:numPr>
        <w:ind w:left="0" w:firstLine="480" w:firstLineChars="200"/>
        <w:rPr>
          <w:rFonts w:hint="eastAsia" w:ascii="宋体" w:hAnsi="宋体"/>
          <w:color w:val="000000"/>
          <w:szCs w:val="21"/>
        </w:rPr>
      </w:pPr>
      <w:r>
        <w:rPr>
          <w:rFonts w:hint="eastAsia" w:ascii="宋体" w:hAnsi="宋体"/>
          <w:color w:val="000000"/>
          <w:szCs w:val="21"/>
        </w:rPr>
        <w:t>《信息安全技术 网络基础安全技术要求》；</w:t>
      </w:r>
    </w:p>
    <w:p>
      <w:pPr>
        <w:pStyle w:val="55"/>
        <w:numPr>
          <w:ilvl w:val="0"/>
          <w:numId w:val="5"/>
        </w:numPr>
        <w:ind w:left="0" w:firstLine="480" w:firstLineChars="200"/>
        <w:rPr>
          <w:rFonts w:hint="eastAsia" w:ascii="宋体" w:hAnsi="宋体"/>
          <w:color w:val="000000"/>
          <w:szCs w:val="21"/>
        </w:rPr>
      </w:pPr>
      <w:r>
        <w:rPr>
          <w:rFonts w:hint="eastAsia" w:ascii="宋体" w:hAnsi="宋体"/>
          <w:color w:val="000000"/>
          <w:szCs w:val="21"/>
        </w:rPr>
        <w:t>《信息安全技术 操作系统安全技术要求》；</w:t>
      </w:r>
    </w:p>
    <w:p>
      <w:pPr>
        <w:pStyle w:val="55"/>
        <w:numPr>
          <w:ilvl w:val="0"/>
          <w:numId w:val="5"/>
        </w:numPr>
        <w:ind w:left="0" w:firstLine="480" w:firstLineChars="200"/>
        <w:rPr>
          <w:rFonts w:hint="eastAsia" w:ascii="宋体" w:hAnsi="宋体"/>
          <w:color w:val="000000"/>
          <w:szCs w:val="21"/>
        </w:rPr>
      </w:pPr>
      <w:r>
        <w:rPr>
          <w:rFonts w:hint="eastAsia" w:ascii="宋体" w:hAnsi="宋体"/>
          <w:color w:val="000000"/>
          <w:szCs w:val="21"/>
        </w:rPr>
        <w:t>《信息安全技术 信息系统通用安全技术要求》；</w:t>
      </w:r>
    </w:p>
    <w:p>
      <w:pPr>
        <w:pStyle w:val="55"/>
        <w:numPr>
          <w:ilvl w:val="0"/>
          <w:numId w:val="5"/>
        </w:numPr>
        <w:ind w:left="0" w:firstLine="480" w:firstLineChars="200"/>
        <w:rPr>
          <w:rFonts w:hint="eastAsia" w:ascii="宋体" w:hAnsi="宋体"/>
          <w:color w:val="000000"/>
          <w:szCs w:val="21"/>
        </w:rPr>
      </w:pPr>
      <w:r>
        <w:rPr>
          <w:rFonts w:hint="eastAsia" w:ascii="宋体" w:hAnsi="宋体"/>
          <w:color w:val="000000"/>
          <w:szCs w:val="21"/>
        </w:rPr>
        <w:t>《信息安全技术 数据库管理系统安全技术要求》；</w:t>
      </w:r>
    </w:p>
    <w:p>
      <w:pPr>
        <w:pStyle w:val="55"/>
        <w:numPr>
          <w:ilvl w:val="0"/>
          <w:numId w:val="5"/>
        </w:numPr>
        <w:ind w:left="0" w:firstLine="424" w:firstLineChars="177"/>
        <w:rPr>
          <w:rFonts w:hint="eastAsia" w:ascii="宋体" w:hAnsi="宋体"/>
          <w:color w:val="000000"/>
          <w:szCs w:val="21"/>
        </w:rPr>
      </w:pPr>
      <w:r>
        <w:rPr>
          <w:rFonts w:hint="eastAsia" w:ascii="宋体" w:hAnsi="宋体"/>
          <w:color w:val="000000"/>
          <w:szCs w:val="21"/>
        </w:rPr>
        <w:t>《信息安全技术 服务器技术要求》；</w:t>
      </w:r>
    </w:p>
    <w:p>
      <w:pPr>
        <w:pStyle w:val="55"/>
        <w:numPr>
          <w:ilvl w:val="0"/>
          <w:numId w:val="5"/>
        </w:numPr>
        <w:ind w:left="0" w:firstLine="424" w:firstLineChars="177"/>
        <w:rPr>
          <w:rFonts w:hint="eastAsia" w:ascii="宋体" w:hAnsi="宋体"/>
          <w:color w:val="000000"/>
          <w:szCs w:val="21"/>
        </w:rPr>
      </w:pPr>
      <w:r>
        <w:rPr>
          <w:rFonts w:hint="eastAsia" w:ascii="宋体" w:hAnsi="宋体"/>
          <w:color w:val="000000"/>
          <w:szCs w:val="21"/>
        </w:rPr>
        <w:t>《信息安全技术 终端计算机系统安全等级技术要求》；</w:t>
      </w:r>
    </w:p>
    <w:p>
      <w:pPr>
        <w:ind w:firstLine="480" w:firstLineChars="200"/>
        <w:rPr>
          <w:rFonts w:hint="eastAsia"/>
          <w:color w:val="000000"/>
          <w:szCs w:val="21"/>
        </w:rPr>
      </w:pPr>
      <w:bookmarkStart w:id="1" w:name="_Toc429312929"/>
      <w:bookmarkStart w:id="2" w:name="_Toc429312691"/>
      <w:bookmarkStart w:id="3" w:name="_Toc431309005"/>
      <w:bookmarkStart w:id="4" w:name="_Toc429316178"/>
      <w:bookmarkStart w:id="5" w:name="_Toc429470702"/>
      <w:bookmarkStart w:id="6" w:name="_Toc429580031"/>
      <w:r>
        <w:rPr>
          <w:rFonts w:hint="eastAsia"/>
          <w:color w:val="000000"/>
          <w:szCs w:val="21"/>
        </w:rPr>
        <w:t>除上述规范以外，还遵循国家现行的相关标准和规范要求。</w:t>
      </w:r>
      <w:bookmarkEnd w:id="1"/>
      <w:bookmarkEnd w:id="2"/>
      <w:bookmarkEnd w:id="3"/>
      <w:bookmarkEnd w:id="4"/>
      <w:bookmarkEnd w:id="5"/>
      <w:bookmarkEnd w:id="6"/>
    </w:p>
    <w:p>
      <w:pPr>
        <w:pStyle w:val="2"/>
        <w:numPr>
          <w:ilvl w:val="0"/>
          <w:numId w:val="3"/>
        </w:numPr>
        <w:ind w:left="0" w:firstLine="0"/>
      </w:pPr>
      <w:r>
        <w:rPr>
          <w:rFonts w:hint="eastAsia"/>
        </w:rPr>
        <w:t>项目内容要求</w:t>
      </w:r>
    </w:p>
    <w:p>
      <w:pPr>
        <w:pStyle w:val="3"/>
      </w:pPr>
      <w:r>
        <w:rPr>
          <w:rFonts w:hint="eastAsia"/>
        </w:rPr>
        <w:t>网络安全服务</w:t>
      </w:r>
    </w:p>
    <w:p>
      <w:pPr>
        <w:pStyle w:val="4"/>
      </w:pPr>
      <w:r>
        <w:rPr>
          <w:rFonts w:hint="eastAsia"/>
        </w:rPr>
        <w:t>驻场运维服务</w:t>
      </w:r>
    </w:p>
    <w:tbl>
      <w:tblPr>
        <w:tblStyle w:val="33"/>
        <w:tblW w:w="8523" w:type="dxa"/>
        <w:tblInd w:w="0" w:type="dxa"/>
        <w:tblLayout w:type="fixed"/>
        <w:tblCellMar>
          <w:top w:w="0" w:type="dxa"/>
          <w:left w:w="108" w:type="dxa"/>
          <w:bottom w:w="0" w:type="dxa"/>
          <w:right w:w="108" w:type="dxa"/>
        </w:tblCellMar>
      </w:tblPr>
      <w:tblGrid>
        <w:gridCol w:w="760"/>
        <w:gridCol w:w="1550"/>
        <w:gridCol w:w="6213"/>
      </w:tblGrid>
      <w:tr>
        <w:tblPrEx>
          <w:tblLayout w:type="fixed"/>
          <w:tblCellMar>
            <w:top w:w="0" w:type="dxa"/>
            <w:left w:w="108" w:type="dxa"/>
            <w:bottom w:w="0" w:type="dxa"/>
            <w:right w:w="108" w:type="dxa"/>
          </w:tblCellMar>
        </w:tblPrEx>
        <w:trPr>
          <w:trHeight w:val="288" w:hRule="atLeast"/>
        </w:trPr>
        <w:tc>
          <w:tcPr>
            <w:tcW w:w="760" w:type="dxa"/>
            <w:tcBorders>
              <w:top w:val="single" w:color="auto" w:sz="4" w:space="0"/>
              <w:left w:val="single" w:color="auto" w:sz="4" w:space="0"/>
              <w:bottom w:val="single" w:color="auto" w:sz="4" w:space="0"/>
              <w:right w:val="single" w:color="auto" w:sz="4" w:space="0"/>
            </w:tcBorders>
            <w:noWrap/>
            <w:vAlign w:val="center"/>
          </w:tcPr>
          <w:p>
            <w:pPr>
              <w:spacing w:line="240" w:lineRule="auto"/>
              <w:jc w:val="center"/>
              <w:rPr>
                <w:rFonts w:hint="eastAsia" w:cs="宋体"/>
                <w:b/>
                <w:bCs/>
                <w:color w:val="000000"/>
                <w:szCs w:val="24"/>
              </w:rPr>
            </w:pPr>
            <w:r>
              <w:rPr>
                <w:rFonts w:hint="eastAsia" w:cs="宋体"/>
                <w:b/>
                <w:bCs/>
                <w:color w:val="000000"/>
                <w:szCs w:val="24"/>
              </w:rPr>
              <w:t>序号</w:t>
            </w:r>
          </w:p>
        </w:tc>
        <w:tc>
          <w:tcPr>
            <w:tcW w:w="1550" w:type="dxa"/>
            <w:tcBorders>
              <w:top w:val="single" w:color="auto" w:sz="4" w:space="0"/>
              <w:left w:val="nil"/>
              <w:bottom w:val="single" w:color="auto" w:sz="4" w:space="0"/>
              <w:right w:val="single" w:color="auto" w:sz="4" w:space="0"/>
            </w:tcBorders>
            <w:vAlign w:val="center"/>
          </w:tcPr>
          <w:p>
            <w:pPr>
              <w:spacing w:line="240" w:lineRule="auto"/>
              <w:jc w:val="center"/>
              <w:rPr>
                <w:rFonts w:hint="eastAsia" w:cs="宋体"/>
                <w:b/>
                <w:bCs/>
                <w:color w:val="000000"/>
                <w:szCs w:val="24"/>
              </w:rPr>
            </w:pPr>
            <w:r>
              <w:rPr>
                <w:rFonts w:hint="eastAsia" w:cs="宋体"/>
                <w:b/>
                <w:bCs/>
                <w:color w:val="000000"/>
                <w:szCs w:val="24"/>
              </w:rPr>
              <w:t>指标项</w:t>
            </w:r>
          </w:p>
        </w:tc>
        <w:tc>
          <w:tcPr>
            <w:tcW w:w="6213" w:type="dxa"/>
            <w:tcBorders>
              <w:top w:val="single" w:color="auto" w:sz="4" w:space="0"/>
              <w:left w:val="nil"/>
              <w:bottom w:val="single" w:color="auto" w:sz="4" w:space="0"/>
              <w:right w:val="single" w:color="auto" w:sz="4" w:space="0"/>
            </w:tcBorders>
            <w:vAlign w:val="center"/>
          </w:tcPr>
          <w:p>
            <w:pPr>
              <w:spacing w:line="240" w:lineRule="auto"/>
              <w:jc w:val="center"/>
              <w:rPr>
                <w:rFonts w:hint="eastAsia" w:cs="宋体"/>
                <w:b/>
                <w:bCs/>
                <w:color w:val="000000"/>
                <w:szCs w:val="24"/>
              </w:rPr>
            </w:pPr>
            <w:r>
              <w:rPr>
                <w:rFonts w:hint="eastAsia" w:cs="宋体"/>
                <w:b/>
                <w:bCs/>
                <w:color w:val="000000"/>
                <w:szCs w:val="24"/>
              </w:rPr>
              <w:t>指标要求</w:t>
            </w:r>
          </w:p>
        </w:tc>
      </w:tr>
      <w:tr>
        <w:tblPrEx>
          <w:tblLayout w:type="fixed"/>
          <w:tblCellMar>
            <w:top w:w="0" w:type="dxa"/>
            <w:left w:w="108" w:type="dxa"/>
            <w:bottom w:w="0" w:type="dxa"/>
            <w:right w:w="108" w:type="dxa"/>
          </w:tblCellMar>
        </w:tblPrEx>
        <w:trPr>
          <w:trHeight w:val="864" w:hRule="atLeast"/>
        </w:trPr>
        <w:tc>
          <w:tcPr>
            <w:tcW w:w="760" w:type="dxa"/>
            <w:tcBorders>
              <w:top w:val="nil"/>
              <w:left w:val="single" w:color="auto" w:sz="4" w:space="0"/>
              <w:bottom w:val="single" w:color="auto" w:sz="4" w:space="0"/>
              <w:right w:val="single" w:color="auto" w:sz="4" w:space="0"/>
            </w:tcBorders>
            <w:noWrap/>
            <w:vAlign w:val="center"/>
          </w:tcPr>
          <w:p>
            <w:pPr>
              <w:spacing w:line="240" w:lineRule="auto"/>
              <w:jc w:val="center"/>
              <w:rPr>
                <w:rFonts w:hint="eastAsia" w:cs="宋体"/>
                <w:color w:val="000000"/>
                <w:szCs w:val="24"/>
              </w:rPr>
            </w:pPr>
            <w:r>
              <w:rPr>
                <w:rFonts w:hint="eastAsia" w:cs="宋体"/>
                <w:color w:val="000000"/>
                <w:szCs w:val="24"/>
              </w:rPr>
              <w:t>1</w:t>
            </w:r>
          </w:p>
        </w:tc>
        <w:tc>
          <w:tcPr>
            <w:tcW w:w="1550" w:type="dxa"/>
            <w:vMerge w:val="restart"/>
            <w:tcBorders>
              <w:top w:val="nil"/>
              <w:left w:val="single" w:color="auto" w:sz="4" w:space="0"/>
              <w:bottom w:val="single" w:color="000000" w:sz="4" w:space="0"/>
              <w:right w:val="single" w:color="auto" w:sz="4" w:space="0"/>
            </w:tcBorders>
            <w:vAlign w:val="center"/>
          </w:tcPr>
          <w:p>
            <w:pPr>
              <w:spacing w:line="240" w:lineRule="auto"/>
              <w:jc w:val="center"/>
              <w:rPr>
                <w:rFonts w:hint="eastAsia" w:cs="宋体"/>
                <w:color w:val="000000"/>
                <w:szCs w:val="24"/>
              </w:rPr>
            </w:pPr>
            <w:r>
              <w:rPr>
                <w:rFonts w:hint="eastAsia" w:cs="宋体"/>
                <w:color w:val="000000"/>
                <w:szCs w:val="24"/>
              </w:rPr>
              <w:t>总体要求</w:t>
            </w:r>
          </w:p>
        </w:tc>
        <w:tc>
          <w:tcPr>
            <w:tcW w:w="6213" w:type="dxa"/>
            <w:tcBorders>
              <w:top w:val="nil"/>
              <w:left w:val="nil"/>
              <w:bottom w:val="single" w:color="auto" w:sz="4" w:space="0"/>
              <w:right w:val="single" w:color="auto" w:sz="4" w:space="0"/>
            </w:tcBorders>
            <w:vAlign w:val="center"/>
          </w:tcPr>
          <w:p>
            <w:pPr>
              <w:spacing w:line="240" w:lineRule="auto"/>
              <w:rPr>
                <w:rFonts w:hint="eastAsia" w:cs="宋体"/>
                <w:color w:val="000000"/>
                <w:szCs w:val="24"/>
              </w:rPr>
            </w:pPr>
            <w:r>
              <w:rPr>
                <w:rFonts w:hint="eastAsia" w:cs="宋体"/>
                <w:color w:val="000000"/>
                <w:szCs w:val="24"/>
              </w:rPr>
              <w:t>本项目需要驻场运维人员1名（中级网络工程师），</w:t>
            </w:r>
            <w:r>
              <w:rPr>
                <w:rFonts w:hint="eastAsia" w:cs="宋体"/>
                <w:color w:val="000000"/>
                <w:szCs w:val="24"/>
                <w:lang w:val="en-US" w:eastAsia="zh-CN"/>
              </w:rPr>
              <w:t>从事网络工作相关经验至少3年以上。</w:t>
            </w:r>
            <w:r>
              <w:rPr>
                <w:rFonts w:hint="eastAsia" w:cs="宋体"/>
                <w:color w:val="000000"/>
                <w:szCs w:val="24"/>
              </w:rPr>
              <w:t>提供1年驻场运维服务（上班时间为正常工作日8：00-17：30），负责对网络、安全设备相关的申报事件进行处理和解决。协助甲方对运维整体的进展和工作进行控制和检查，负责对重大事件向信息中心运维主管领导汇报。</w:t>
            </w:r>
          </w:p>
        </w:tc>
      </w:tr>
      <w:tr>
        <w:tblPrEx>
          <w:tblLayout w:type="fixed"/>
          <w:tblCellMar>
            <w:top w:w="0" w:type="dxa"/>
            <w:left w:w="108" w:type="dxa"/>
            <w:bottom w:w="0" w:type="dxa"/>
            <w:right w:w="108" w:type="dxa"/>
          </w:tblCellMar>
        </w:tblPrEx>
        <w:trPr>
          <w:trHeight w:val="864" w:hRule="atLeast"/>
        </w:trPr>
        <w:tc>
          <w:tcPr>
            <w:tcW w:w="760" w:type="dxa"/>
            <w:tcBorders>
              <w:top w:val="nil"/>
              <w:left w:val="single" w:color="auto" w:sz="4" w:space="0"/>
              <w:bottom w:val="single" w:color="auto" w:sz="4" w:space="0"/>
              <w:right w:val="single" w:color="auto" w:sz="4" w:space="0"/>
            </w:tcBorders>
            <w:noWrap/>
            <w:vAlign w:val="center"/>
          </w:tcPr>
          <w:p>
            <w:pPr>
              <w:spacing w:line="240" w:lineRule="auto"/>
              <w:jc w:val="center"/>
              <w:rPr>
                <w:rFonts w:hint="eastAsia" w:cs="宋体"/>
                <w:color w:val="000000"/>
                <w:szCs w:val="24"/>
              </w:rPr>
            </w:pPr>
            <w:r>
              <w:rPr>
                <w:rFonts w:hint="eastAsia" w:cs="宋体"/>
                <w:color w:val="000000"/>
                <w:szCs w:val="24"/>
              </w:rPr>
              <w:t>2</w:t>
            </w:r>
          </w:p>
        </w:tc>
        <w:tc>
          <w:tcPr>
            <w:tcW w:w="1550" w:type="dxa"/>
            <w:vMerge w:val="continue"/>
            <w:tcBorders>
              <w:top w:val="nil"/>
              <w:left w:val="single" w:color="auto" w:sz="4" w:space="0"/>
              <w:bottom w:val="single" w:color="000000" w:sz="4" w:space="0"/>
              <w:right w:val="single" w:color="auto" w:sz="4" w:space="0"/>
            </w:tcBorders>
            <w:vAlign w:val="center"/>
          </w:tcPr>
          <w:p>
            <w:pPr>
              <w:spacing w:line="240" w:lineRule="auto"/>
              <w:rPr>
                <w:rFonts w:hint="eastAsia" w:cs="宋体"/>
                <w:color w:val="000000"/>
                <w:szCs w:val="24"/>
              </w:rPr>
            </w:pPr>
          </w:p>
        </w:tc>
        <w:tc>
          <w:tcPr>
            <w:tcW w:w="6213" w:type="dxa"/>
            <w:tcBorders>
              <w:top w:val="nil"/>
              <w:left w:val="nil"/>
              <w:bottom w:val="single" w:color="auto" w:sz="4" w:space="0"/>
              <w:right w:val="single" w:color="auto" w:sz="4" w:space="0"/>
            </w:tcBorders>
            <w:vAlign w:val="center"/>
          </w:tcPr>
          <w:p>
            <w:pPr>
              <w:spacing w:line="240" w:lineRule="auto"/>
              <w:rPr>
                <w:rFonts w:hint="eastAsia" w:cs="宋体"/>
                <w:color w:val="000000"/>
                <w:szCs w:val="24"/>
              </w:rPr>
            </w:pPr>
            <w:r>
              <w:rPr>
                <w:rFonts w:hint="eastAsia" w:cs="宋体"/>
                <w:color w:val="000000"/>
                <w:szCs w:val="24"/>
              </w:rPr>
              <w:t>在日常工作中负责维护服务项目中涉及的设备和系统的运维管理工作，负责按照甲方运维服务管理工作的流程、执行情况，对紧急事件进行跟进，协调和完成服务工作，对服务中存在的问题提出改进意见。</w:t>
            </w:r>
          </w:p>
        </w:tc>
      </w:tr>
      <w:tr>
        <w:tblPrEx>
          <w:tblLayout w:type="fixed"/>
          <w:tblCellMar>
            <w:top w:w="0" w:type="dxa"/>
            <w:left w:w="108" w:type="dxa"/>
            <w:bottom w:w="0" w:type="dxa"/>
            <w:right w:w="108" w:type="dxa"/>
          </w:tblCellMar>
        </w:tblPrEx>
        <w:trPr>
          <w:trHeight w:val="864" w:hRule="atLeast"/>
        </w:trPr>
        <w:tc>
          <w:tcPr>
            <w:tcW w:w="760" w:type="dxa"/>
            <w:tcBorders>
              <w:top w:val="nil"/>
              <w:left w:val="single" w:color="auto" w:sz="4" w:space="0"/>
              <w:bottom w:val="single" w:color="auto" w:sz="4" w:space="0"/>
              <w:right w:val="single" w:color="auto" w:sz="4" w:space="0"/>
            </w:tcBorders>
            <w:noWrap/>
            <w:vAlign w:val="center"/>
          </w:tcPr>
          <w:p>
            <w:pPr>
              <w:spacing w:line="240" w:lineRule="auto"/>
              <w:jc w:val="center"/>
              <w:rPr>
                <w:rFonts w:hint="eastAsia" w:cs="宋体"/>
                <w:color w:val="000000"/>
                <w:szCs w:val="24"/>
              </w:rPr>
            </w:pPr>
            <w:r>
              <w:rPr>
                <w:rFonts w:hint="eastAsia" w:cs="宋体"/>
                <w:color w:val="000000"/>
                <w:szCs w:val="24"/>
              </w:rPr>
              <w:t>3</w:t>
            </w:r>
          </w:p>
        </w:tc>
        <w:tc>
          <w:tcPr>
            <w:tcW w:w="1550" w:type="dxa"/>
            <w:vMerge w:val="continue"/>
            <w:tcBorders>
              <w:top w:val="nil"/>
              <w:left w:val="single" w:color="auto" w:sz="4" w:space="0"/>
              <w:bottom w:val="single" w:color="000000" w:sz="4" w:space="0"/>
              <w:right w:val="single" w:color="auto" w:sz="4" w:space="0"/>
            </w:tcBorders>
            <w:vAlign w:val="center"/>
          </w:tcPr>
          <w:p>
            <w:pPr>
              <w:spacing w:line="240" w:lineRule="auto"/>
              <w:rPr>
                <w:rFonts w:hint="eastAsia" w:cs="宋体"/>
                <w:color w:val="000000"/>
                <w:szCs w:val="24"/>
              </w:rPr>
            </w:pPr>
          </w:p>
        </w:tc>
        <w:tc>
          <w:tcPr>
            <w:tcW w:w="6213" w:type="dxa"/>
            <w:tcBorders>
              <w:top w:val="nil"/>
              <w:left w:val="nil"/>
              <w:bottom w:val="single" w:color="auto" w:sz="4" w:space="0"/>
              <w:right w:val="single" w:color="auto" w:sz="4" w:space="0"/>
            </w:tcBorders>
            <w:vAlign w:val="center"/>
          </w:tcPr>
          <w:p>
            <w:pPr>
              <w:spacing w:line="240" w:lineRule="auto"/>
              <w:rPr>
                <w:rFonts w:hint="eastAsia" w:cs="宋体"/>
                <w:color w:val="000000"/>
                <w:szCs w:val="24"/>
              </w:rPr>
            </w:pPr>
            <w:r>
              <w:rPr>
                <w:rFonts w:hint="eastAsia" w:cs="宋体"/>
                <w:color w:val="000000"/>
                <w:szCs w:val="24"/>
              </w:rPr>
              <w:t>★在特殊时期如粤盾、</w:t>
            </w:r>
            <w:r>
              <w:rPr>
                <w:rFonts w:hint="eastAsia" w:cs="宋体"/>
                <w:color w:val="000000"/>
                <w:szCs w:val="24"/>
                <w:lang w:val="en-US" w:eastAsia="zh-CN"/>
              </w:rPr>
              <w:t>飞鸿杯攻防演练、</w:t>
            </w:r>
            <w:r>
              <w:rPr>
                <w:rFonts w:hint="eastAsia" w:cs="宋体"/>
                <w:color w:val="000000"/>
                <w:szCs w:val="24"/>
              </w:rPr>
              <w:t>粤网安、国护期间</w:t>
            </w:r>
            <w:r>
              <w:rPr>
                <w:rFonts w:hint="eastAsia" w:cs="宋体"/>
                <w:color w:val="000000"/>
                <w:szCs w:val="24"/>
                <w:lang w:val="en-US" w:eastAsia="zh-CN"/>
              </w:rPr>
              <w:t>等</w:t>
            </w:r>
            <w:r>
              <w:rPr>
                <w:rFonts w:hint="eastAsia" w:cs="宋体"/>
                <w:color w:val="000000"/>
                <w:szCs w:val="24"/>
              </w:rPr>
              <w:t>需提供7*24小时安全值守服务，必要时院方可要求服务商在驻场人员基础上增加现场值守人员；另外在重要节假日期间（春节、国庆、五一等）需提供5*8小时远程值守服务。</w:t>
            </w:r>
            <w:r>
              <w:rPr>
                <w:rFonts w:hint="eastAsia" w:cs="宋体"/>
                <w:b/>
                <w:bCs/>
                <w:color w:val="000000"/>
                <w:szCs w:val="24"/>
              </w:rPr>
              <w:t>（提供服务承诺函）</w:t>
            </w:r>
          </w:p>
        </w:tc>
      </w:tr>
      <w:tr>
        <w:tblPrEx>
          <w:tblLayout w:type="fixed"/>
          <w:tblCellMar>
            <w:top w:w="0" w:type="dxa"/>
            <w:left w:w="108" w:type="dxa"/>
            <w:bottom w:w="0" w:type="dxa"/>
            <w:right w:w="108" w:type="dxa"/>
          </w:tblCellMar>
        </w:tblPrEx>
        <w:trPr>
          <w:trHeight w:val="576" w:hRule="atLeast"/>
        </w:trPr>
        <w:tc>
          <w:tcPr>
            <w:tcW w:w="760" w:type="dxa"/>
            <w:tcBorders>
              <w:top w:val="nil"/>
              <w:left w:val="single" w:color="auto" w:sz="4" w:space="0"/>
              <w:bottom w:val="single" w:color="auto" w:sz="4" w:space="0"/>
              <w:right w:val="single" w:color="auto" w:sz="4" w:space="0"/>
            </w:tcBorders>
            <w:noWrap/>
            <w:vAlign w:val="center"/>
          </w:tcPr>
          <w:p>
            <w:pPr>
              <w:spacing w:line="240" w:lineRule="auto"/>
              <w:jc w:val="center"/>
              <w:rPr>
                <w:rFonts w:hint="eastAsia" w:cs="宋体"/>
                <w:color w:val="000000"/>
                <w:szCs w:val="24"/>
              </w:rPr>
            </w:pPr>
            <w:r>
              <w:rPr>
                <w:rFonts w:hint="eastAsia" w:cs="宋体"/>
                <w:color w:val="000000"/>
                <w:szCs w:val="24"/>
              </w:rPr>
              <w:t>4</w:t>
            </w:r>
          </w:p>
        </w:tc>
        <w:tc>
          <w:tcPr>
            <w:tcW w:w="1550" w:type="dxa"/>
            <w:tcBorders>
              <w:top w:val="nil"/>
              <w:left w:val="nil"/>
              <w:bottom w:val="single" w:color="auto" w:sz="4" w:space="0"/>
              <w:right w:val="single" w:color="auto" w:sz="4" w:space="0"/>
            </w:tcBorders>
            <w:vAlign w:val="center"/>
          </w:tcPr>
          <w:p>
            <w:pPr>
              <w:spacing w:line="240" w:lineRule="auto"/>
              <w:jc w:val="center"/>
              <w:rPr>
                <w:rFonts w:hint="eastAsia" w:cs="宋体"/>
                <w:color w:val="000000"/>
                <w:szCs w:val="24"/>
              </w:rPr>
            </w:pPr>
            <w:r>
              <w:rPr>
                <w:rFonts w:hint="eastAsia" w:cs="宋体"/>
                <w:color w:val="000000"/>
                <w:szCs w:val="24"/>
              </w:rPr>
              <w:t>工作范围</w:t>
            </w:r>
          </w:p>
        </w:tc>
        <w:tc>
          <w:tcPr>
            <w:tcW w:w="6213" w:type="dxa"/>
            <w:tcBorders>
              <w:top w:val="nil"/>
              <w:left w:val="nil"/>
              <w:bottom w:val="single" w:color="auto" w:sz="4" w:space="0"/>
              <w:right w:val="single" w:color="auto" w:sz="4" w:space="0"/>
            </w:tcBorders>
            <w:vAlign w:val="center"/>
          </w:tcPr>
          <w:p>
            <w:pPr>
              <w:spacing w:line="240" w:lineRule="auto"/>
              <w:rPr>
                <w:rFonts w:hint="eastAsia" w:cs="宋体"/>
                <w:color w:val="000000"/>
                <w:szCs w:val="24"/>
              </w:rPr>
            </w:pPr>
            <w:r>
              <w:rPr>
                <w:rFonts w:hint="eastAsia" w:cs="宋体"/>
                <w:color w:val="000000"/>
                <w:szCs w:val="24"/>
              </w:rPr>
              <w:t>负责医院内网络、安全等方面的运维工作，负责对院内每年需落实网络安全等级保护测评的</w:t>
            </w:r>
            <w:r>
              <w:rPr>
                <w:rFonts w:hint="eastAsia" w:cs="宋体"/>
                <w:color w:val="000000"/>
                <w:szCs w:val="24"/>
                <w:lang w:val="en-US" w:eastAsia="zh-CN"/>
              </w:rPr>
              <w:t>问题清单和整改方案</w:t>
            </w:r>
            <w:r>
              <w:rPr>
                <w:rFonts w:hint="eastAsia" w:cs="宋体"/>
                <w:color w:val="000000"/>
                <w:szCs w:val="24"/>
              </w:rPr>
              <w:t>提供</w:t>
            </w:r>
            <w:r>
              <w:rPr>
                <w:rFonts w:hint="eastAsia" w:cs="宋体"/>
                <w:color w:val="000000"/>
                <w:szCs w:val="24"/>
                <w:lang w:val="en-US" w:eastAsia="zh-CN"/>
              </w:rPr>
              <w:t>安全</w:t>
            </w:r>
            <w:r>
              <w:rPr>
                <w:rFonts w:hint="eastAsia" w:cs="宋体"/>
                <w:color w:val="000000"/>
                <w:szCs w:val="24"/>
              </w:rPr>
              <w:t>整改</w:t>
            </w:r>
            <w:r>
              <w:rPr>
                <w:rFonts w:hint="eastAsia" w:cs="宋体"/>
                <w:color w:val="000000"/>
                <w:szCs w:val="24"/>
                <w:lang w:val="en-US" w:eastAsia="zh-CN"/>
              </w:rPr>
              <w:t>服务</w:t>
            </w:r>
            <w:r>
              <w:rPr>
                <w:rFonts w:hint="eastAsia" w:cs="宋体"/>
                <w:color w:val="000000"/>
                <w:szCs w:val="24"/>
              </w:rPr>
              <w:t>，配合测评机构完成相关测评工作</w:t>
            </w:r>
            <w:r>
              <w:rPr>
                <w:rFonts w:hint="eastAsia" w:cs="宋体"/>
                <w:color w:val="000000"/>
                <w:szCs w:val="24"/>
                <w:lang w:eastAsia="zh-CN"/>
              </w:rPr>
              <w:t>，</w:t>
            </w:r>
            <w:r>
              <w:rPr>
                <w:rFonts w:hint="eastAsia"/>
              </w:rPr>
              <w:t>使应用系统满足等级保护测评要求</w:t>
            </w:r>
            <w:r>
              <w:rPr>
                <w:rFonts w:hint="eastAsia" w:cs="宋体"/>
                <w:color w:val="000000"/>
                <w:szCs w:val="24"/>
              </w:rPr>
              <w:t>。</w:t>
            </w:r>
          </w:p>
        </w:tc>
      </w:tr>
      <w:tr>
        <w:tblPrEx>
          <w:tblLayout w:type="fixed"/>
          <w:tblCellMar>
            <w:top w:w="0" w:type="dxa"/>
            <w:left w:w="108" w:type="dxa"/>
            <w:bottom w:w="0" w:type="dxa"/>
            <w:right w:w="108" w:type="dxa"/>
          </w:tblCellMar>
        </w:tblPrEx>
        <w:trPr>
          <w:trHeight w:val="2016" w:hRule="atLeast"/>
        </w:trPr>
        <w:tc>
          <w:tcPr>
            <w:tcW w:w="760" w:type="dxa"/>
            <w:tcBorders>
              <w:top w:val="nil"/>
              <w:left w:val="single" w:color="auto" w:sz="4" w:space="0"/>
              <w:bottom w:val="single" w:color="auto" w:sz="4" w:space="0"/>
              <w:right w:val="single" w:color="auto" w:sz="4" w:space="0"/>
            </w:tcBorders>
            <w:noWrap/>
            <w:vAlign w:val="center"/>
          </w:tcPr>
          <w:p>
            <w:pPr>
              <w:spacing w:line="240" w:lineRule="auto"/>
              <w:jc w:val="center"/>
              <w:rPr>
                <w:rFonts w:hint="eastAsia" w:cs="宋体"/>
                <w:color w:val="000000"/>
                <w:szCs w:val="24"/>
              </w:rPr>
            </w:pPr>
            <w:r>
              <w:rPr>
                <w:rFonts w:hint="eastAsia" w:cs="宋体"/>
                <w:color w:val="000000"/>
                <w:szCs w:val="24"/>
              </w:rPr>
              <w:t>5</w:t>
            </w:r>
          </w:p>
        </w:tc>
        <w:tc>
          <w:tcPr>
            <w:tcW w:w="1550" w:type="dxa"/>
            <w:tcBorders>
              <w:top w:val="nil"/>
              <w:left w:val="nil"/>
              <w:bottom w:val="single" w:color="auto" w:sz="4" w:space="0"/>
              <w:right w:val="single" w:color="auto" w:sz="4" w:space="0"/>
            </w:tcBorders>
            <w:vAlign w:val="center"/>
          </w:tcPr>
          <w:p>
            <w:pPr>
              <w:spacing w:line="240" w:lineRule="auto"/>
              <w:jc w:val="center"/>
              <w:rPr>
                <w:rFonts w:hint="eastAsia" w:cs="宋体"/>
                <w:color w:val="000000"/>
                <w:szCs w:val="24"/>
              </w:rPr>
            </w:pPr>
            <w:r>
              <w:rPr>
                <w:rFonts w:hint="eastAsia" w:cs="宋体"/>
                <w:color w:val="000000"/>
                <w:szCs w:val="24"/>
              </w:rPr>
              <w:t>★驻场人员要求</w:t>
            </w:r>
          </w:p>
        </w:tc>
        <w:tc>
          <w:tcPr>
            <w:tcW w:w="6213" w:type="dxa"/>
            <w:tcBorders>
              <w:top w:val="nil"/>
              <w:left w:val="nil"/>
              <w:bottom w:val="single" w:color="auto" w:sz="4" w:space="0"/>
              <w:right w:val="single" w:color="auto" w:sz="4" w:space="0"/>
            </w:tcBorders>
            <w:vAlign w:val="center"/>
          </w:tcPr>
          <w:p>
            <w:pPr>
              <w:spacing w:line="240" w:lineRule="auto"/>
              <w:rPr>
                <w:rFonts w:hint="eastAsia" w:cs="宋体"/>
                <w:color w:val="000000"/>
                <w:szCs w:val="24"/>
              </w:rPr>
            </w:pPr>
            <w:r>
              <w:rPr>
                <w:rFonts w:hint="eastAsia" w:cs="宋体"/>
                <w:color w:val="000000"/>
                <w:szCs w:val="24"/>
              </w:rPr>
              <w:t>1.计算机或相关领域</w:t>
            </w:r>
            <w:r>
              <w:rPr>
                <w:rFonts w:hint="eastAsia" w:cs="宋体"/>
                <w:color w:val="000000"/>
                <w:szCs w:val="24"/>
                <w:lang w:val="en-US" w:eastAsia="zh-CN"/>
              </w:rPr>
              <w:t>本</w:t>
            </w:r>
            <w:r>
              <w:rPr>
                <w:rFonts w:hint="eastAsia" w:cs="宋体"/>
                <w:color w:val="000000"/>
                <w:szCs w:val="24"/>
              </w:rPr>
              <w:t>科及以上学历，具有</w:t>
            </w:r>
            <w:r>
              <w:rPr>
                <w:rFonts w:hint="eastAsia" w:cs="宋体"/>
                <w:color w:val="000000"/>
                <w:szCs w:val="24"/>
                <w:lang w:val="en-US" w:eastAsia="zh-CN"/>
              </w:rPr>
              <w:t>3</w:t>
            </w:r>
            <w:r>
              <w:rPr>
                <w:rFonts w:hint="eastAsia" w:cs="宋体"/>
                <w:color w:val="000000"/>
                <w:szCs w:val="24"/>
              </w:rPr>
              <w:t>年以上网络维护工作经验；</w:t>
            </w:r>
            <w:r>
              <w:rPr>
                <w:rFonts w:hint="eastAsia" w:cs="宋体"/>
                <w:color w:val="000000"/>
                <w:szCs w:val="24"/>
              </w:rPr>
              <w:br w:type="textWrapping"/>
            </w:r>
            <w:r>
              <w:rPr>
                <w:rFonts w:hint="eastAsia" w:cs="宋体"/>
                <w:color w:val="000000"/>
                <w:szCs w:val="24"/>
              </w:rPr>
              <w:t>2.了解TCP/IP协议栈及网络架构设计；</w:t>
            </w:r>
            <w:r>
              <w:rPr>
                <w:rFonts w:hint="eastAsia" w:cs="宋体"/>
                <w:color w:val="000000"/>
                <w:szCs w:val="24"/>
              </w:rPr>
              <w:br w:type="textWrapping"/>
            </w:r>
            <w:r>
              <w:rPr>
                <w:rFonts w:hint="eastAsia" w:cs="宋体"/>
                <w:color w:val="000000"/>
                <w:szCs w:val="24"/>
              </w:rPr>
              <w:t>3.掌握路由、交换、网络安全等相关知识，并能够运用；</w:t>
            </w:r>
            <w:r>
              <w:rPr>
                <w:rFonts w:hint="eastAsia" w:cs="宋体"/>
                <w:color w:val="000000"/>
                <w:szCs w:val="24"/>
              </w:rPr>
              <w:br w:type="textWrapping"/>
            </w:r>
            <w:r>
              <w:rPr>
                <w:rFonts w:hint="eastAsia" w:cs="宋体"/>
                <w:color w:val="000000"/>
                <w:szCs w:val="24"/>
              </w:rPr>
              <w:t>4.具有良好的团队协作精神和沟通能力；</w:t>
            </w:r>
            <w:r>
              <w:rPr>
                <w:rFonts w:hint="eastAsia" w:cs="宋体"/>
                <w:color w:val="000000"/>
                <w:szCs w:val="24"/>
              </w:rPr>
              <w:br w:type="textWrapping"/>
            </w:r>
            <w:r>
              <w:rPr>
                <w:rFonts w:hint="eastAsia" w:cs="宋体"/>
                <w:color w:val="000000"/>
                <w:szCs w:val="24"/>
              </w:rPr>
              <w:t>5.驻场服务人员进场实施服务前，院方有权对驻场人员以上技术能力、沟通能力进行面试考核，在院方考核通过后方可进场服务，否则院方有权要求更换具备上述能力的安全服务人员，如服务商无法提供满足院方要求的驻场人员，院方有权终止服务商对于本项目的服务资格。</w:t>
            </w:r>
          </w:p>
        </w:tc>
      </w:tr>
      <w:tr>
        <w:tblPrEx>
          <w:tblLayout w:type="fixed"/>
          <w:tblCellMar>
            <w:top w:w="0" w:type="dxa"/>
            <w:left w:w="108" w:type="dxa"/>
            <w:bottom w:w="0" w:type="dxa"/>
            <w:right w:w="108" w:type="dxa"/>
          </w:tblCellMar>
        </w:tblPrEx>
        <w:trPr>
          <w:trHeight w:val="3456" w:hRule="atLeast"/>
        </w:trPr>
        <w:tc>
          <w:tcPr>
            <w:tcW w:w="760" w:type="dxa"/>
            <w:tcBorders>
              <w:top w:val="nil"/>
              <w:left w:val="single" w:color="auto" w:sz="4" w:space="0"/>
              <w:bottom w:val="single" w:color="auto" w:sz="4" w:space="0"/>
              <w:right w:val="single" w:color="auto" w:sz="4" w:space="0"/>
            </w:tcBorders>
            <w:noWrap/>
            <w:vAlign w:val="center"/>
          </w:tcPr>
          <w:p>
            <w:pPr>
              <w:spacing w:line="240" w:lineRule="auto"/>
              <w:jc w:val="center"/>
              <w:rPr>
                <w:rFonts w:hint="eastAsia" w:cs="宋体"/>
                <w:color w:val="000000"/>
                <w:szCs w:val="24"/>
              </w:rPr>
            </w:pPr>
            <w:r>
              <w:rPr>
                <w:rFonts w:hint="eastAsia" w:cs="宋体"/>
                <w:color w:val="000000"/>
                <w:szCs w:val="24"/>
              </w:rPr>
              <w:t>6</w:t>
            </w:r>
          </w:p>
        </w:tc>
        <w:tc>
          <w:tcPr>
            <w:tcW w:w="1550" w:type="dxa"/>
            <w:tcBorders>
              <w:top w:val="nil"/>
              <w:left w:val="nil"/>
              <w:bottom w:val="single" w:color="auto" w:sz="4" w:space="0"/>
              <w:right w:val="single" w:color="auto" w:sz="4" w:space="0"/>
            </w:tcBorders>
            <w:vAlign w:val="center"/>
          </w:tcPr>
          <w:p>
            <w:pPr>
              <w:spacing w:line="240" w:lineRule="auto"/>
              <w:jc w:val="center"/>
              <w:rPr>
                <w:rFonts w:hint="eastAsia" w:cs="宋体"/>
                <w:color w:val="000000"/>
                <w:szCs w:val="24"/>
              </w:rPr>
            </w:pPr>
            <w:r>
              <w:rPr>
                <w:rFonts w:hint="eastAsia" w:cs="宋体"/>
                <w:color w:val="000000"/>
                <w:szCs w:val="24"/>
              </w:rPr>
              <w:t>二线人员要求</w:t>
            </w:r>
            <w:r>
              <w:rPr>
                <w:rFonts w:hint="eastAsia" w:cs="宋体"/>
                <w:b/>
                <w:bCs/>
                <w:color w:val="000000"/>
                <w:szCs w:val="24"/>
              </w:rPr>
              <w:t>（提供近6个月社保证明、证书证明）</w:t>
            </w:r>
          </w:p>
        </w:tc>
        <w:tc>
          <w:tcPr>
            <w:tcW w:w="6213" w:type="dxa"/>
            <w:tcBorders>
              <w:top w:val="nil"/>
              <w:left w:val="nil"/>
              <w:bottom w:val="single" w:color="auto" w:sz="4" w:space="0"/>
              <w:right w:val="single" w:color="auto" w:sz="4" w:space="0"/>
            </w:tcBorders>
            <w:vAlign w:val="center"/>
          </w:tcPr>
          <w:p>
            <w:pPr>
              <w:spacing w:line="240" w:lineRule="auto"/>
              <w:rPr>
                <w:rFonts w:hint="eastAsia" w:cs="宋体"/>
                <w:color w:val="000000"/>
                <w:szCs w:val="24"/>
              </w:rPr>
            </w:pPr>
            <w:r>
              <w:rPr>
                <w:rFonts w:hint="eastAsia" w:cs="宋体"/>
                <w:color w:val="000000"/>
                <w:szCs w:val="24"/>
              </w:rPr>
              <w:t>除驻场工程师外，网络安全服务过程中还需配备二线服务人员，为保障服务质量，服务商须具有庞大的二线团队储备，团队人员需具有以下服务能力证书</w:t>
            </w:r>
            <w:r>
              <w:rPr>
                <w:rFonts w:hint="eastAsia" w:cs="宋体"/>
                <w:color w:val="000000"/>
                <w:szCs w:val="24"/>
                <w:lang w:eastAsia="zh-CN"/>
              </w:rPr>
              <w:t>（</w:t>
            </w:r>
            <w:r>
              <w:rPr>
                <w:rFonts w:hint="eastAsia" w:cs="宋体"/>
                <w:color w:val="000000"/>
                <w:szCs w:val="24"/>
                <w:lang w:val="en-US" w:eastAsia="zh-CN"/>
              </w:rPr>
              <w:t>至少提供5个不重复证书</w:t>
            </w:r>
            <w:r>
              <w:rPr>
                <w:rFonts w:hint="eastAsia" w:cs="宋体"/>
                <w:color w:val="000000"/>
                <w:szCs w:val="24"/>
                <w:lang w:eastAsia="zh-CN"/>
              </w:rPr>
              <w:t>）</w:t>
            </w:r>
            <w:r>
              <w:rPr>
                <w:rFonts w:hint="eastAsia" w:cs="宋体"/>
                <w:color w:val="000000"/>
                <w:szCs w:val="24"/>
              </w:rPr>
              <w:t>：</w:t>
            </w:r>
            <w:r>
              <w:rPr>
                <w:rFonts w:hint="eastAsia" w:cs="宋体"/>
                <w:color w:val="000000"/>
                <w:szCs w:val="24"/>
              </w:rPr>
              <w:br w:type="textWrapping"/>
            </w:r>
            <w:r>
              <w:rPr>
                <w:rFonts w:hint="eastAsia" w:cs="宋体"/>
                <w:color w:val="000000"/>
                <w:szCs w:val="24"/>
              </w:rPr>
              <w:t>1.注册信息安全工程师</w:t>
            </w:r>
            <w:r>
              <w:rPr>
                <w:rFonts w:hint="eastAsia" w:cs="宋体"/>
                <w:color w:val="000000"/>
                <w:szCs w:val="24"/>
              </w:rPr>
              <w:br w:type="textWrapping"/>
            </w:r>
            <w:r>
              <w:rPr>
                <w:rFonts w:hint="eastAsia" w:cs="宋体"/>
                <w:color w:val="000000"/>
                <w:szCs w:val="24"/>
              </w:rPr>
              <w:t>2.网络工程师中级认证</w:t>
            </w:r>
            <w:r>
              <w:rPr>
                <w:rFonts w:hint="eastAsia" w:cs="宋体"/>
                <w:color w:val="000000"/>
                <w:szCs w:val="24"/>
              </w:rPr>
              <w:br w:type="textWrapping"/>
            </w:r>
            <w:r>
              <w:rPr>
                <w:rFonts w:hint="eastAsia" w:cs="宋体"/>
                <w:color w:val="000000"/>
                <w:szCs w:val="24"/>
              </w:rPr>
              <w:t>3.软件设计师认证</w:t>
            </w:r>
            <w:r>
              <w:rPr>
                <w:rFonts w:hint="eastAsia" w:cs="宋体"/>
                <w:color w:val="000000"/>
                <w:szCs w:val="24"/>
              </w:rPr>
              <w:br w:type="textWrapping"/>
            </w:r>
            <w:r>
              <w:rPr>
                <w:rFonts w:hint="eastAsia" w:cs="宋体"/>
                <w:color w:val="000000"/>
                <w:szCs w:val="24"/>
              </w:rPr>
              <w:t>4.信息系统项目管理师</w:t>
            </w:r>
            <w:r>
              <w:rPr>
                <w:rFonts w:hint="eastAsia" w:cs="宋体"/>
                <w:color w:val="000000"/>
                <w:szCs w:val="24"/>
              </w:rPr>
              <w:br w:type="textWrapping"/>
            </w:r>
            <w:r>
              <w:rPr>
                <w:rFonts w:hint="eastAsia" w:cs="宋体"/>
                <w:color w:val="000000"/>
                <w:szCs w:val="24"/>
              </w:rPr>
              <w:t>5.系统架构设计师</w:t>
            </w:r>
            <w:r>
              <w:rPr>
                <w:rFonts w:hint="eastAsia" w:cs="宋体"/>
                <w:color w:val="000000"/>
                <w:szCs w:val="24"/>
              </w:rPr>
              <w:br w:type="textWrapping"/>
            </w:r>
            <w:r>
              <w:rPr>
                <w:rFonts w:hint="eastAsia" w:cs="宋体"/>
                <w:color w:val="000000"/>
                <w:szCs w:val="24"/>
              </w:rPr>
              <w:t>6.系统集成项目管理工程师</w:t>
            </w:r>
            <w:r>
              <w:rPr>
                <w:rFonts w:hint="eastAsia" w:cs="宋体"/>
                <w:color w:val="000000"/>
                <w:szCs w:val="24"/>
              </w:rPr>
              <w:br w:type="textWrapping"/>
            </w:r>
            <w:r>
              <w:rPr>
                <w:rFonts w:hint="eastAsia" w:cs="宋体"/>
                <w:color w:val="000000"/>
                <w:szCs w:val="24"/>
              </w:rPr>
              <w:t>7.信息安全工程师</w:t>
            </w:r>
            <w:r>
              <w:rPr>
                <w:rFonts w:hint="eastAsia" w:cs="宋体"/>
                <w:color w:val="000000"/>
                <w:szCs w:val="24"/>
              </w:rPr>
              <w:br w:type="textWrapping"/>
            </w:r>
            <w:r>
              <w:rPr>
                <w:rFonts w:hint="eastAsia" w:cs="宋体"/>
                <w:color w:val="000000"/>
                <w:szCs w:val="24"/>
              </w:rPr>
              <w:t>8.网络规划设计师</w:t>
            </w:r>
            <w:r>
              <w:rPr>
                <w:rFonts w:hint="eastAsia" w:cs="宋体"/>
                <w:color w:val="000000"/>
                <w:szCs w:val="24"/>
              </w:rPr>
              <w:br w:type="textWrapping"/>
            </w:r>
            <w:r>
              <w:rPr>
                <w:rFonts w:hint="eastAsia" w:cs="宋体"/>
                <w:color w:val="000000"/>
                <w:szCs w:val="24"/>
              </w:rPr>
              <w:t>9.数据库系统工程师</w:t>
            </w:r>
            <w:r>
              <w:rPr>
                <w:rFonts w:hint="eastAsia" w:cs="宋体"/>
                <w:color w:val="000000"/>
                <w:szCs w:val="24"/>
              </w:rPr>
              <w:br w:type="textWrapping"/>
            </w:r>
            <w:r>
              <w:rPr>
                <w:rFonts w:hint="eastAsia" w:cs="宋体"/>
                <w:color w:val="000000"/>
                <w:szCs w:val="24"/>
              </w:rPr>
              <w:t>10.信息系统监理师</w:t>
            </w:r>
          </w:p>
        </w:tc>
      </w:tr>
    </w:tbl>
    <w:p>
      <w:pPr>
        <w:rPr>
          <w:rFonts w:hint="eastAsia" w:cs="宋体"/>
          <w:szCs w:val="21"/>
        </w:rPr>
      </w:pPr>
    </w:p>
    <w:p>
      <w:pPr>
        <w:pStyle w:val="4"/>
      </w:pPr>
      <w:r>
        <w:rPr>
          <w:rFonts w:hint="eastAsia"/>
        </w:rPr>
        <w:t>服务要求</w:t>
      </w:r>
    </w:p>
    <w:p>
      <w:pPr>
        <w:pStyle w:val="5"/>
        <w:rPr>
          <w:color w:val="000000" w:themeColor="text1"/>
          <w14:textFill>
            <w14:solidFill>
              <w14:schemeClr w14:val="tx1"/>
            </w14:solidFill>
          </w14:textFill>
        </w:rPr>
      </w:pPr>
      <w:bookmarkStart w:id="7" w:name="_Toc187831355"/>
      <w:r>
        <w:rPr>
          <w:rFonts w:hint="eastAsia"/>
          <w:color w:val="000000" w:themeColor="text1"/>
          <w14:textFill>
            <w14:solidFill>
              <w14:schemeClr w14:val="tx1"/>
            </w14:solidFill>
          </w14:textFill>
        </w:rPr>
        <w:t>定期安全检查</w:t>
      </w:r>
      <w:bookmarkEnd w:id="7"/>
    </w:p>
    <w:tbl>
      <w:tblPr>
        <w:tblStyle w:val="33"/>
        <w:tblW w:w="8523" w:type="dxa"/>
        <w:tblInd w:w="0" w:type="dxa"/>
        <w:tblLayout w:type="fixed"/>
        <w:tblCellMar>
          <w:top w:w="0" w:type="dxa"/>
          <w:left w:w="108" w:type="dxa"/>
          <w:bottom w:w="0" w:type="dxa"/>
          <w:right w:w="108" w:type="dxa"/>
        </w:tblCellMar>
      </w:tblPr>
      <w:tblGrid>
        <w:gridCol w:w="837"/>
        <w:gridCol w:w="1778"/>
        <w:gridCol w:w="5908"/>
      </w:tblGrid>
      <w:tr>
        <w:tblPrEx>
          <w:tblLayout w:type="fixed"/>
        </w:tblPrEx>
        <w:trPr>
          <w:trHeight w:val="288" w:hRule="atLeast"/>
        </w:trPr>
        <w:tc>
          <w:tcPr>
            <w:tcW w:w="837" w:type="dxa"/>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hint="eastAsia" w:cs="宋体"/>
                <w:b/>
                <w:bCs/>
                <w:color w:val="000000"/>
                <w:szCs w:val="24"/>
              </w:rPr>
            </w:pPr>
            <w:r>
              <w:rPr>
                <w:rFonts w:hint="eastAsia" w:cs="宋体"/>
                <w:b/>
                <w:bCs/>
                <w:color w:val="000000"/>
                <w:szCs w:val="24"/>
              </w:rPr>
              <w:t>序号</w:t>
            </w:r>
          </w:p>
        </w:tc>
        <w:tc>
          <w:tcPr>
            <w:tcW w:w="1778" w:type="dxa"/>
            <w:tcBorders>
              <w:top w:val="single" w:color="auto" w:sz="4" w:space="0"/>
              <w:left w:val="nil"/>
              <w:bottom w:val="single" w:color="auto" w:sz="4" w:space="0"/>
              <w:right w:val="single" w:color="auto" w:sz="4" w:space="0"/>
            </w:tcBorders>
            <w:vAlign w:val="center"/>
          </w:tcPr>
          <w:p>
            <w:pPr>
              <w:spacing w:line="240" w:lineRule="auto"/>
              <w:jc w:val="center"/>
              <w:rPr>
                <w:rFonts w:hint="eastAsia" w:cs="宋体"/>
                <w:b/>
                <w:bCs/>
                <w:color w:val="000000"/>
                <w:szCs w:val="24"/>
              </w:rPr>
            </w:pPr>
            <w:r>
              <w:rPr>
                <w:rFonts w:hint="eastAsia" w:cs="宋体"/>
                <w:b/>
                <w:bCs/>
                <w:color w:val="000000"/>
                <w:szCs w:val="24"/>
              </w:rPr>
              <w:t>指标项</w:t>
            </w:r>
          </w:p>
        </w:tc>
        <w:tc>
          <w:tcPr>
            <w:tcW w:w="5908" w:type="dxa"/>
            <w:tcBorders>
              <w:top w:val="single" w:color="auto" w:sz="4" w:space="0"/>
              <w:left w:val="nil"/>
              <w:bottom w:val="single" w:color="auto" w:sz="4" w:space="0"/>
              <w:right w:val="single" w:color="auto" w:sz="4" w:space="0"/>
            </w:tcBorders>
            <w:vAlign w:val="center"/>
          </w:tcPr>
          <w:p>
            <w:pPr>
              <w:spacing w:line="240" w:lineRule="auto"/>
              <w:jc w:val="center"/>
              <w:rPr>
                <w:rFonts w:hint="eastAsia" w:cs="宋体"/>
                <w:b/>
                <w:bCs/>
                <w:color w:val="000000"/>
                <w:szCs w:val="24"/>
              </w:rPr>
            </w:pPr>
            <w:r>
              <w:rPr>
                <w:rFonts w:hint="eastAsia" w:cs="宋体"/>
                <w:b/>
                <w:bCs/>
                <w:color w:val="000000"/>
                <w:szCs w:val="24"/>
              </w:rPr>
              <w:t>指标要求</w:t>
            </w:r>
          </w:p>
        </w:tc>
      </w:tr>
      <w:tr>
        <w:tblPrEx>
          <w:tblLayout w:type="fixed"/>
          <w:tblCellMar>
            <w:top w:w="0" w:type="dxa"/>
            <w:left w:w="108" w:type="dxa"/>
            <w:bottom w:w="0" w:type="dxa"/>
            <w:right w:w="108" w:type="dxa"/>
          </w:tblCellMar>
        </w:tblPrEx>
        <w:trPr>
          <w:trHeight w:val="288" w:hRule="atLeast"/>
        </w:trPr>
        <w:tc>
          <w:tcPr>
            <w:tcW w:w="837" w:type="dxa"/>
            <w:tcBorders>
              <w:top w:val="nil"/>
              <w:left w:val="single" w:color="auto" w:sz="4" w:space="0"/>
              <w:bottom w:val="single" w:color="auto" w:sz="4" w:space="0"/>
              <w:right w:val="single" w:color="auto" w:sz="4" w:space="0"/>
            </w:tcBorders>
            <w:vAlign w:val="center"/>
          </w:tcPr>
          <w:p>
            <w:pPr>
              <w:spacing w:line="240" w:lineRule="auto"/>
              <w:jc w:val="center"/>
              <w:rPr>
                <w:rFonts w:hint="eastAsia" w:cs="宋体"/>
                <w:color w:val="000000"/>
                <w:szCs w:val="24"/>
              </w:rPr>
            </w:pPr>
            <w:r>
              <w:rPr>
                <w:rFonts w:hint="eastAsia" w:cs="宋体"/>
                <w:color w:val="000000"/>
                <w:szCs w:val="24"/>
              </w:rPr>
              <w:t>1</w:t>
            </w:r>
          </w:p>
        </w:tc>
        <w:tc>
          <w:tcPr>
            <w:tcW w:w="1778" w:type="dxa"/>
            <w:tcBorders>
              <w:top w:val="nil"/>
              <w:left w:val="nil"/>
              <w:bottom w:val="single" w:color="auto" w:sz="4" w:space="0"/>
              <w:right w:val="single" w:color="auto" w:sz="4" w:space="0"/>
            </w:tcBorders>
            <w:vAlign w:val="center"/>
          </w:tcPr>
          <w:p>
            <w:pPr>
              <w:spacing w:line="240" w:lineRule="auto"/>
              <w:jc w:val="center"/>
              <w:rPr>
                <w:rFonts w:hint="eastAsia" w:cs="宋体"/>
                <w:color w:val="000000"/>
                <w:szCs w:val="24"/>
              </w:rPr>
            </w:pPr>
            <w:r>
              <w:rPr>
                <w:rFonts w:hint="eastAsia" w:cs="宋体"/>
                <w:color w:val="000000"/>
                <w:szCs w:val="24"/>
              </w:rPr>
              <w:t>频次</w:t>
            </w:r>
          </w:p>
        </w:tc>
        <w:tc>
          <w:tcPr>
            <w:tcW w:w="5908" w:type="dxa"/>
            <w:tcBorders>
              <w:top w:val="nil"/>
              <w:left w:val="nil"/>
              <w:bottom w:val="single" w:color="auto" w:sz="4" w:space="0"/>
              <w:right w:val="single" w:color="auto" w:sz="4" w:space="0"/>
            </w:tcBorders>
            <w:vAlign w:val="center"/>
          </w:tcPr>
          <w:p>
            <w:pPr>
              <w:spacing w:line="240" w:lineRule="auto"/>
              <w:rPr>
                <w:rFonts w:hint="eastAsia" w:cs="宋体"/>
                <w:color w:val="000000"/>
                <w:szCs w:val="24"/>
              </w:rPr>
            </w:pPr>
            <w:r>
              <w:rPr>
                <w:rFonts w:hint="eastAsia" w:cs="宋体"/>
                <w:color w:val="000000"/>
                <w:szCs w:val="24"/>
              </w:rPr>
              <w:t>每季度一次</w:t>
            </w:r>
          </w:p>
        </w:tc>
      </w:tr>
      <w:tr>
        <w:tblPrEx>
          <w:tblLayout w:type="fixed"/>
          <w:tblCellMar>
            <w:top w:w="0" w:type="dxa"/>
            <w:left w:w="108" w:type="dxa"/>
            <w:bottom w:w="0" w:type="dxa"/>
            <w:right w:w="108" w:type="dxa"/>
          </w:tblCellMar>
        </w:tblPrEx>
        <w:trPr>
          <w:trHeight w:val="5760" w:hRule="atLeast"/>
        </w:trPr>
        <w:tc>
          <w:tcPr>
            <w:tcW w:w="837" w:type="dxa"/>
            <w:tcBorders>
              <w:top w:val="nil"/>
              <w:left w:val="single" w:color="auto" w:sz="4" w:space="0"/>
              <w:bottom w:val="single" w:color="auto" w:sz="4" w:space="0"/>
              <w:right w:val="single" w:color="auto" w:sz="4" w:space="0"/>
            </w:tcBorders>
            <w:vAlign w:val="center"/>
          </w:tcPr>
          <w:p>
            <w:pPr>
              <w:spacing w:line="240" w:lineRule="auto"/>
              <w:jc w:val="center"/>
              <w:rPr>
                <w:rFonts w:hint="eastAsia" w:cs="宋体"/>
                <w:color w:val="000000"/>
                <w:szCs w:val="24"/>
              </w:rPr>
            </w:pPr>
            <w:r>
              <w:rPr>
                <w:rFonts w:hint="eastAsia" w:cs="宋体"/>
                <w:color w:val="000000"/>
                <w:szCs w:val="24"/>
              </w:rPr>
              <w:t>2</w:t>
            </w:r>
          </w:p>
        </w:tc>
        <w:tc>
          <w:tcPr>
            <w:tcW w:w="1778" w:type="dxa"/>
            <w:tcBorders>
              <w:top w:val="nil"/>
              <w:left w:val="nil"/>
              <w:bottom w:val="single" w:color="auto" w:sz="4" w:space="0"/>
              <w:right w:val="single" w:color="auto" w:sz="4" w:space="0"/>
            </w:tcBorders>
            <w:vAlign w:val="center"/>
          </w:tcPr>
          <w:p>
            <w:pPr>
              <w:spacing w:line="240" w:lineRule="auto"/>
              <w:jc w:val="center"/>
              <w:rPr>
                <w:rFonts w:hint="eastAsia" w:cs="宋体"/>
                <w:color w:val="000000"/>
                <w:szCs w:val="24"/>
              </w:rPr>
            </w:pPr>
            <w:r>
              <w:rPr>
                <w:rFonts w:hint="eastAsia" w:cs="宋体"/>
                <w:color w:val="000000"/>
                <w:szCs w:val="24"/>
              </w:rPr>
              <w:t>服务要求</w:t>
            </w:r>
          </w:p>
        </w:tc>
        <w:tc>
          <w:tcPr>
            <w:tcW w:w="5908" w:type="dxa"/>
            <w:tcBorders>
              <w:top w:val="nil"/>
              <w:left w:val="nil"/>
              <w:bottom w:val="single" w:color="auto" w:sz="4" w:space="0"/>
              <w:right w:val="single" w:color="auto" w:sz="4" w:space="0"/>
            </w:tcBorders>
            <w:vAlign w:val="center"/>
          </w:tcPr>
          <w:p>
            <w:pPr>
              <w:spacing w:line="240" w:lineRule="auto"/>
              <w:rPr>
                <w:rFonts w:hint="eastAsia" w:cs="宋体"/>
                <w:color w:val="000000"/>
                <w:szCs w:val="24"/>
              </w:rPr>
            </w:pPr>
            <w:r>
              <w:rPr>
                <w:rFonts w:hint="eastAsia" w:cs="宋体"/>
                <w:color w:val="000000"/>
                <w:szCs w:val="24"/>
              </w:rPr>
              <w:t>对医院的现网整体安全提供全面的巡检服务，巡检的内容包括但不限于：</w:t>
            </w:r>
            <w:r>
              <w:rPr>
                <w:rFonts w:hint="eastAsia" w:cs="宋体"/>
                <w:color w:val="000000"/>
                <w:szCs w:val="24"/>
              </w:rPr>
              <w:br w:type="textWrapping"/>
            </w:r>
            <w:r>
              <w:rPr>
                <w:rFonts w:hint="eastAsia" w:cs="宋体"/>
                <w:color w:val="000000"/>
                <w:szCs w:val="24"/>
              </w:rPr>
              <w:t>1.安全设备品牌、设备型号、设备放置、设备性能参数、设备内存大小、设备槽位、设备序列号、设备购买年限、设备保修状态、设备备件状况、设备标签完善程度；</w:t>
            </w:r>
            <w:r>
              <w:rPr>
                <w:rFonts w:hint="eastAsia" w:cs="宋体"/>
                <w:color w:val="000000"/>
                <w:szCs w:val="24"/>
              </w:rPr>
              <w:br w:type="textWrapping"/>
            </w:r>
            <w:r>
              <w:rPr>
                <w:rFonts w:hint="eastAsia" w:cs="宋体"/>
                <w:color w:val="000000"/>
                <w:szCs w:val="24"/>
              </w:rPr>
              <w:t>2.安全设备软件版本信息、当前版本信息、最新版本信息、设备持续运行时间、设备备份情况、设备CPU利用率、设备内存利用率、设备模块运行状态、设备风扇及电源状况、设备端口数量、设备端口类别、设备端口类型、设备运行机箱温度；</w:t>
            </w:r>
            <w:r>
              <w:rPr>
                <w:rFonts w:hint="eastAsia" w:cs="宋体"/>
                <w:color w:val="000000"/>
                <w:szCs w:val="24"/>
              </w:rPr>
              <w:br w:type="textWrapping"/>
            </w:r>
            <w:r>
              <w:rPr>
                <w:rFonts w:hint="eastAsia" w:cs="宋体"/>
                <w:color w:val="000000"/>
                <w:szCs w:val="24"/>
              </w:rPr>
              <w:t>3.安全设备连通性、冗余协议运行状态、VLAN信息、以太通道信息、路由协议、邻居关系、交换协议、生成树STP协议、NAT连接数状态、FLASH信息、设备配置信息分析、多余配置信息分析、配置精简建议、IOS安全建议、防火墙信息、防火墙策略、防火墙DMZ区检查、应用业务、IP地址使用状况；</w:t>
            </w:r>
            <w:r>
              <w:rPr>
                <w:rFonts w:hint="eastAsia" w:cs="宋体"/>
                <w:color w:val="000000"/>
                <w:szCs w:val="24"/>
              </w:rPr>
              <w:br w:type="textWrapping"/>
            </w:r>
            <w:r>
              <w:rPr>
                <w:rFonts w:hint="eastAsia" w:cs="宋体"/>
                <w:color w:val="000000"/>
                <w:szCs w:val="24"/>
              </w:rPr>
              <w:t>4.对设备性能、告警信息、被攻击和入侵情况（如入侵事件、入侵源、前十位攻击对象等）、安全威胁进行动态评估；</w:t>
            </w:r>
            <w:r>
              <w:rPr>
                <w:rFonts w:hint="eastAsia" w:cs="宋体"/>
                <w:color w:val="000000"/>
                <w:szCs w:val="24"/>
              </w:rPr>
              <w:br w:type="textWrapping"/>
            </w:r>
            <w:r>
              <w:rPr>
                <w:rFonts w:hint="eastAsia" w:cs="宋体"/>
                <w:color w:val="000000"/>
                <w:szCs w:val="24"/>
              </w:rPr>
              <w:t>5.对安全系统瓶颈和资源竞争情况进行分析，找出潜在问题。</w:t>
            </w:r>
            <w:r>
              <w:rPr>
                <w:rFonts w:hint="eastAsia" w:cs="宋体"/>
                <w:color w:val="000000"/>
                <w:szCs w:val="24"/>
              </w:rPr>
              <w:br w:type="textWrapping"/>
            </w:r>
            <w:r>
              <w:rPr>
                <w:rFonts w:hint="eastAsia" w:cs="宋体"/>
                <w:color w:val="000000"/>
                <w:szCs w:val="24"/>
              </w:rPr>
              <w:t>6.对服务器、终端做周期检查，主要内容是检查是否存在高危漏洞，杀毒软件病毒库是否最新。如果发现问题需要及时提供人工现场处理修复或者升级服务。</w:t>
            </w:r>
          </w:p>
        </w:tc>
      </w:tr>
      <w:tr>
        <w:tblPrEx>
          <w:tblLayout w:type="fixed"/>
          <w:tblCellMar>
            <w:top w:w="0" w:type="dxa"/>
            <w:left w:w="108" w:type="dxa"/>
            <w:bottom w:w="0" w:type="dxa"/>
            <w:right w:w="108" w:type="dxa"/>
          </w:tblCellMar>
        </w:tblPrEx>
        <w:trPr>
          <w:trHeight w:val="864" w:hRule="atLeast"/>
        </w:trPr>
        <w:tc>
          <w:tcPr>
            <w:tcW w:w="837" w:type="dxa"/>
            <w:tcBorders>
              <w:top w:val="nil"/>
              <w:left w:val="single" w:color="auto" w:sz="4" w:space="0"/>
              <w:bottom w:val="single" w:color="auto" w:sz="4" w:space="0"/>
              <w:right w:val="single" w:color="auto" w:sz="4" w:space="0"/>
            </w:tcBorders>
            <w:vAlign w:val="center"/>
          </w:tcPr>
          <w:p>
            <w:pPr>
              <w:spacing w:line="240" w:lineRule="auto"/>
              <w:jc w:val="center"/>
              <w:rPr>
                <w:rFonts w:hint="eastAsia" w:cs="宋体"/>
                <w:color w:val="000000"/>
                <w:szCs w:val="24"/>
              </w:rPr>
            </w:pPr>
            <w:r>
              <w:rPr>
                <w:rFonts w:hint="eastAsia" w:cs="宋体"/>
                <w:color w:val="000000"/>
                <w:szCs w:val="24"/>
              </w:rPr>
              <w:t>3</w:t>
            </w:r>
          </w:p>
        </w:tc>
        <w:tc>
          <w:tcPr>
            <w:tcW w:w="1778" w:type="dxa"/>
            <w:tcBorders>
              <w:top w:val="nil"/>
              <w:left w:val="nil"/>
              <w:bottom w:val="single" w:color="auto" w:sz="4" w:space="0"/>
              <w:right w:val="single" w:color="auto" w:sz="4" w:space="0"/>
            </w:tcBorders>
            <w:vAlign w:val="center"/>
          </w:tcPr>
          <w:p>
            <w:pPr>
              <w:spacing w:line="240" w:lineRule="auto"/>
              <w:jc w:val="center"/>
              <w:rPr>
                <w:rFonts w:hint="eastAsia" w:cs="宋体"/>
                <w:color w:val="000000"/>
                <w:szCs w:val="24"/>
              </w:rPr>
            </w:pPr>
            <w:r>
              <w:rPr>
                <w:rFonts w:hint="eastAsia" w:cs="宋体"/>
                <w:color w:val="000000"/>
                <w:szCs w:val="24"/>
              </w:rPr>
              <w:t>服务交付</w:t>
            </w:r>
          </w:p>
        </w:tc>
        <w:tc>
          <w:tcPr>
            <w:tcW w:w="5908" w:type="dxa"/>
            <w:tcBorders>
              <w:top w:val="nil"/>
              <w:left w:val="nil"/>
              <w:bottom w:val="single" w:color="auto" w:sz="4" w:space="0"/>
              <w:right w:val="single" w:color="auto" w:sz="4" w:space="0"/>
            </w:tcBorders>
            <w:vAlign w:val="center"/>
          </w:tcPr>
          <w:p>
            <w:pPr>
              <w:spacing w:line="240" w:lineRule="auto"/>
              <w:rPr>
                <w:rFonts w:hint="eastAsia" w:cs="宋体"/>
                <w:color w:val="000000"/>
                <w:szCs w:val="24"/>
              </w:rPr>
            </w:pPr>
            <w:r>
              <w:rPr>
                <w:rFonts w:hint="eastAsia" w:cs="宋体"/>
                <w:color w:val="000000"/>
                <w:szCs w:val="24"/>
              </w:rPr>
              <w:t>每次巡检完成后，在规定时间内输出一份《安全巡检报告》，巡检报告中应详细描述每次巡检的设备清单、类型，巡检设备情况，</w:t>
            </w:r>
            <w:r>
              <w:rPr>
                <w:rFonts w:ascii="Segoe UI" w:hAnsi="Segoe UI" w:eastAsia="Segoe UI" w:cs="Segoe UI"/>
                <w:i w:val="0"/>
                <w:iCs w:val="0"/>
                <w:caps w:val="0"/>
                <w:color w:val="404040"/>
                <w:spacing w:val="0"/>
                <w:sz w:val="24"/>
                <w:szCs w:val="24"/>
                <w:shd w:val="clear" w:fill="FFFFFF"/>
              </w:rPr>
              <w:t>对于发现的问题，报告需分析原因并提出解决方案。后续应根据报告及时处理，消除隐患，并将</w:t>
            </w:r>
            <w:r>
              <w:rPr>
                <w:rFonts w:hint="eastAsia" w:ascii="Segoe UI" w:hAnsi="Segoe UI" w:cs="Segoe UI"/>
                <w:i w:val="0"/>
                <w:iCs w:val="0"/>
                <w:caps w:val="0"/>
                <w:color w:val="404040"/>
                <w:spacing w:val="0"/>
                <w:sz w:val="24"/>
                <w:szCs w:val="24"/>
                <w:shd w:val="clear" w:fill="FFFFFF"/>
                <w:lang w:val="en-US" w:eastAsia="zh-CN"/>
              </w:rPr>
              <w:t>处理</w:t>
            </w:r>
            <w:r>
              <w:rPr>
                <w:rFonts w:ascii="Segoe UI" w:hAnsi="Segoe UI" w:eastAsia="Segoe UI" w:cs="Segoe UI"/>
                <w:i w:val="0"/>
                <w:iCs w:val="0"/>
                <w:caps w:val="0"/>
                <w:color w:val="404040"/>
                <w:spacing w:val="0"/>
                <w:sz w:val="24"/>
                <w:szCs w:val="24"/>
                <w:shd w:val="clear" w:fill="FFFFFF"/>
              </w:rPr>
              <w:t>过程及结果整理归档</w:t>
            </w:r>
            <w:r>
              <w:rPr>
                <w:rFonts w:hint="eastAsia" w:cs="宋体"/>
                <w:color w:val="000000"/>
                <w:szCs w:val="24"/>
              </w:rPr>
              <w:t>。</w:t>
            </w:r>
          </w:p>
        </w:tc>
      </w:tr>
    </w:tbl>
    <w:p>
      <w:pPr>
        <w:ind w:firstLine="480" w:firstLineChars="200"/>
        <w:rPr>
          <w:rFonts w:hint="eastAsia"/>
          <w:szCs w:val="21"/>
        </w:rPr>
      </w:pPr>
    </w:p>
    <w:p>
      <w:pPr>
        <w:ind w:firstLine="480" w:firstLineChars="200"/>
        <w:rPr>
          <w:rFonts w:hint="eastAsia"/>
          <w:szCs w:val="21"/>
        </w:rPr>
      </w:pPr>
    </w:p>
    <w:p>
      <w:pPr>
        <w:pStyle w:val="5"/>
        <w:rPr>
          <w:color w:val="000000" w:themeColor="text1"/>
          <w14:textFill>
            <w14:solidFill>
              <w14:schemeClr w14:val="tx1"/>
            </w14:solidFill>
          </w14:textFill>
        </w:rPr>
      </w:pPr>
      <w:r>
        <w:rPr>
          <w:rFonts w:hint="eastAsia"/>
          <w:color w:val="000000" w:themeColor="text1"/>
          <w14:textFill>
            <w14:solidFill>
              <w14:schemeClr w14:val="tx1"/>
            </w14:solidFill>
          </w14:textFill>
        </w:rPr>
        <w:t>安全应急响应</w:t>
      </w:r>
    </w:p>
    <w:tbl>
      <w:tblPr>
        <w:tblStyle w:val="33"/>
        <w:tblW w:w="8523" w:type="dxa"/>
        <w:tblInd w:w="0" w:type="dxa"/>
        <w:tblLayout w:type="fixed"/>
        <w:tblCellMar>
          <w:top w:w="0" w:type="dxa"/>
          <w:left w:w="108" w:type="dxa"/>
          <w:bottom w:w="0" w:type="dxa"/>
          <w:right w:w="108" w:type="dxa"/>
        </w:tblCellMar>
      </w:tblPr>
      <w:tblGrid>
        <w:gridCol w:w="837"/>
        <w:gridCol w:w="1778"/>
        <w:gridCol w:w="5908"/>
      </w:tblGrid>
      <w:tr>
        <w:tblPrEx>
          <w:tblLayout w:type="fixed"/>
          <w:tblCellMar>
            <w:top w:w="0" w:type="dxa"/>
            <w:left w:w="108" w:type="dxa"/>
            <w:bottom w:w="0" w:type="dxa"/>
            <w:right w:w="108" w:type="dxa"/>
          </w:tblCellMar>
        </w:tblPrEx>
        <w:trPr>
          <w:trHeight w:val="288" w:hRule="atLeast"/>
        </w:trPr>
        <w:tc>
          <w:tcPr>
            <w:tcW w:w="837" w:type="dxa"/>
            <w:tcBorders>
              <w:top w:val="single" w:color="auto" w:sz="4" w:space="0"/>
              <w:left w:val="single" w:color="auto" w:sz="4" w:space="0"/>
              <w:bottom w:val="single" w:color="auto" w:sz="4" w:space="0"/>
              <w:right w:val="single" w:color="auto" w:sz="4" w:space="0"/>
            </w:tcBorders>
            <w:noWrap/>
            <w:vAlign w:val="center"/>
          </w:tcPr>
          <w:p>
            <w:pPr>
              <w:spacing w:line="240" w:lineRule="auto"/>
              <w:jc w:val="center"/>
              <w:rPr>
                <w:rFonts w:hint="eastAsia" w:cs="宋体"/>
                <w:b/>
                <w:bCs/>
                <w:color w:val="000000"/>
                <w:szCs w:val="24"/>
              </w:rPr>
            </w:pPr>
            <w:r>
              <w:rPr>
                <w:rFonts w:hint="eastAsia" w:cs="宋体"/>
                <w:b/>
                <w:bCs/>
                <w:color w:val="000000"/>
                <w:szCs w:val="24"/>
              </w:rPr>
              <w:t>序号</w:t>
            </w:r>
          </w:p>
        </w:tc>
        <w:tc>
          <w:tcPr>
            <w:tcW w:w="1778" w:type="dxa"/>
            <w:tcBorders>
              <w:top w:val="single" w:color="auto" w:sz="4" w:space="0"/>
              <w:left w:val="nil"/>
              <w:bottom w:val="single" w:color="auto" w:sz="4" w:space="0"/>
              <w:right w:val="single" w:color="auto" w:sz="4" w:space="0"/>
            </w:tcBorders>
            <w:noWrap/>
            <w:vAlign w:val="center"/>
          </w:tcPr>
          <w:p>
            <w:pPr>
              <w:spacing w:line="240" w:lineRule="auto"/>
              <w:jc w:val="center"/>
              <w:rPr>
                <w:rFonts w:hint="eastAsia" w:cs="宋体"/>
                <w:b/>
                <w:bCs/>
                <w:color w:val="000000"/>
                <w:szCs w:val="24"/>
              </w:rPr>
            </w:pPr>
            <w:r>
              <w:rPr>
                <w:rFonts w:hint="eastAsia" w:cs="宋体"/>
                <w:b/>
                <w:bCs/>
                <w:color w:val="000000"/>
                <w:szCs w:val="24"/>
              </w:rPr>
              <w:t>指标项</w:t>
            </w:r>
          </w:p>
        </w:tc>
        <w:tc>
          <w:tcPr>
            <w:tcW w:w="5908" w:type="dxa"/>
            <w:tcBorders>
              <w:top w:val="single" w:color="auto" w:sz="4" w:space="0"/>
              <w:left w:val="nil"/>
              <w:bottom w:val="single" w:color="auto" w:sz="4" w:space="0"/>
              <w:right w:val="single" w:color="auto" w:sz="4" w:space="0"/>
            </w:tcBorders>
            <w:vAlign w:val="center"/>
          </w:tcPr>
          <w:p>
            <w:pPr>
              <w:spacing w:line="240" w:lineRule="auto"/>
              <w:jc w:val="center"/>
              <w:rPr>
                <w:rFonts w:hint="eastAsia" w:cs="宋体"/>
                <w:b/>
                <w:bCs/>
                <w:color w:val="000000"/>
                <w:szCs w:val="24"/>
              </w:rPr>
            </w:pPr>
            <w:r>
              <w:rPr>
                <w:rFonts w:hint="eastAsia" w:cs="宋体"/>
                <w:b/>
                <w:bCs/>
                <w:color w:val="000000"/>
                <w:szCs w:val="24"/>
              </w:rPr>
              <w:t>指标要求</w:t>
            </w:r>
          </w:p>
        </w:tc>
      </w:tr>
      <w:tr>
        <w:tblPrEx>
          <w:tblLayout w:type="fixed"/>
          <w:tblCellMar>
            <w:top w:w="0" w:type="dxa"/>
            <w:left w:w="108" w:type="dxa"/>
            <w:bottom w:w="0" w:type="dxa"/>
            <w:right w:w="108" w:type="dxa"/>
          </w:tblCellMar>
        </w:tblPrEx>
        <w:trPr>
          <w:trHeight w:val="288" w:hRule="atLeast"/>
        </w:trPr>
        <w:tc>
          <w:tcPr>
            <w:tcW w:w="837" w:type="dxa"/>
            <w:tcBorders>
              <w:top w:val="nil"/>
              <w:left w:val="single" w:color="auto" w:sz="4" w:space="0"/>
              <w:bottom w:val="single" w:color="auto" w:sz="4" w:space="0"/>
              <w:right w:val="single" w:color="auto" w:sz="4" w:space="0"/>
            </w:tcBorders>
            <w:noWrap/>
            <w:vAlign w:val="center"/>
          </w:tcPr>
          <w:p>
            <w:pPr>
              <w:spacing w:line="240" w:lineRule="auto"/>
              <w:jc w:val="center"/>
              <w:rPr>
                <w:rFonts w:hint="eastAsia" w:cs="宋体"/>
                <w:color w:val="000000"/>
                <w:szCs w:val="24"/>
              </w:rPr>
            </w:pPr>
            <w:r>
              <w:rPr>
                <w:rFonts w:hint="eastAsia" w:cs="宋体"/>
                <w:color w:val="000000"/>
                <w:szCs w:val="24"/>
              </w:rPr>
              <w:t>1</w:t>
            </w:r>
          </w:p>
        </w:tc>
        <w:tc>
          <w:tcPr>
            <w:tcW w:w="1778" w:type="dxa"/>
            <w:tcBorders>
              <w:top w:val="nil"/>
              <w:left w:val="nil"/>
              <w:bottom w:val="single" w:color="auto" w:sz="4" w:space="0"/>
              <w:right w:val="single" w:color="auto" w:sz="4" w:space="0"/>
            </w:tcBorders>
            <w:noWrap/>
            <w:vAlign w:val="center"/>
          </w:tcPr>
          <w:p>
            <w:pPr>
              <w:spacing w:line="240" w:lineRule="auto"/>
              <w:jc w:val="center"/>
              <w:rPr>
                <w:rFonts w:hint="eastAsia" w:cs="宋体"/>
                <w:color w:val="000000"/>
                <w:szCs w:val="24"/>
              </w:rPr>
            </w:pPr>
            <w:r>
              <w:rPr>
                <w:rFonts w:hint="eastAsia" w:cs="宋体"/>
                <w:color w:val="000000"/>
                <w:szCs w:val="24"/>
              </w:rPr>
              <w:t>频次</w:t>
            </w:r>
          </w:p>
        </w:tc>
        <w:tc>
          <w:tcPr>
            <w:tcW w:w="5908" w:type="dxa"/>
            <w:tcBorders>
              <w:top w:val="nil"/>
              <w:left w:val="nil"/>
              <w:bottom w:val="single" w:color="auto" w:sz="4" w:space="0"/>
              <w:right w:val="single" w:color="auto" w:sz="4" w:space="0"/>
            </w:tcBorders>
            <w:noWrap/>
            <w:vAlign w:val="center"/>
          </w:tcPr>
          <w:p>
            <w:pPr>
              <w:spacing w:line="240" w:lineRule="auto"/>
              <w:rPr>
                <w:rFonts w:hint="eastAsia" w:cs="宋体"/>
                <w:color w:val="000000"/>
                <w:szCs w:val="24"/>
              </w:rPr>
            </w:pPr>
            <w:r>
              <w:rPr>
                <w:rFonts w:hint="eastAsia" w:cs="宋体"/>
                <w:color w:val="000000"/>
                <w:szCs w:val="24"/>
              </w:rPr>
              <w:t>一年内不限次数</w:t>
            </w:r>
          </w:p>
        </w:tc>
      </w:tr>
      <w:tr>
        <w:tblPrEx>
          <w:tblLayout w:type="fixed"/>
          <w:tblCellMar>
            <w:top w:w="0" w:type="dxa"/>
            <w:left w:w="108" w:type="dxa"/>
            <w:bottom w:w="0" w:type="dxa"/>
            <w:right w:w="108" w:type="dxa"/>
          </w:tblCellMar>
        </w:tblPrEx>
        <w:trPr>
          <w:trHeight w:val="3168" w:hRule="atLeast"/>
        </w:trPr>
        <w:tc>
          <w:tcPr>
            <w:tcW w:w="837" w:type="dxa"/>
            <w:tcBorders>
              <w:top w:val="nil"/>
              <w:left w:val="single" w:color="auto" w:sz="4" w:space="0"/>
              <w:bottom w:val="single" w:color="auto" w:sz="4" w:space="0"/>
              <w:right w:val="single" w:color="auto" w:sz="4" w:space="0"/>
            </w:tcBorders>
            <w:noWrap/>
            <w:vAlign w:val="center"/>
          </w:tcPr>
          <w:p>
            <w:pPr>
              <w:spacing w:line="240" w:lineRule="auto"/>
              <w:jc w:val="center"/>
              <w:rPr>
                <w:rFonts w:hint="eastAsia" w:cs="宋体"/>
                <w:color w:val="000000"/>
                <w:szCs w:val="24"/>
              </w:rPr>
            </w:pPr>
            <w:r>
              <w:rPr>
                <w:rFonts w:hint="eastAsia" w:cs="宋体"/>
                <w:color w:val="000000"/>
                <w:szCs w:val="24"/>
              </w:rPr>
              <w:t>2</w:t>
            </w:r>
          </w:p>
        </w:tc>
        <w:tc>
          <w:tcPr>
            <w:tcW w:w="1778" w:type="dxa"/>
            <w:tcBorders>
              <w:top w:val="nil"/>
              <w:left w:val="nil"/>
              <w:bottom w:val="single" w:color="auto" w:sz="4" w:space="0"/>
              <w:right w:val="single" w:color="auto" w:sz="4" w:space="0"/>
            </w:tcBorders>
            <w:noWrap/>
            <w:vAlign w:val="center"/>
          </w:tcPr>
          <w:p>
            <w:pPr>
              <w:spacing w:line="240" w:lineRule="auto"/>
              <w:jc w:val="center"/>
              <w:rPr>
                <w:rFonts w:hint="eastAsia" w:cs="宋体"/>
                <w:color w:val="000000"/>
                <w:szCs w:val="24"/>
              </w:rPr>
            </w:pPr>
            <w:r>
              <w:rPr>
                <w:rFonts w:hint="eastAsia" w:cs="宋体"/>
                <w:color w:val="000000"/>
                <w:szCs w:val="24"/>
              </w:rPr>
              <w:t>服务要求</w:t>
            </w:r>
          </w:p>
        </w:tc>
        <w:tc>
          <w:tcPr>
            <w:tcW w:w="5908" w:type="dxa"/>
            <w:tcBorders>
              <w:top w:val="nil"/>
              <w:left w:val="nil"/>
              <w:bottom w:val="single" w:color="auto" w:sz="4" w:space="0"/>
              <w:right w:val="single" w:color="auto" w:sz="4" w:space="0"/>
            </w:tcBorders>
            <w:vAlign w:val="center"/>
          </w:tcPr>
          <w:p>
            <w:pPr>
              <w:spacing w:line="240" w:lineRule="auto"/>
              <w:rPr>
                <w:rFonts w:hint="eastAsia" w:cs="宋体"/>
                <w:color w:val="000000"/>
                <w:szCs w:val="24"/>
              </w:rPr>
            </w:pPr>
            <w:r>
              <w:rPr>
                <w:rFonts w:hint="eastAsia" w:cs="宋体"/>
                <w:color w:val="000000"/>
                <w:szCs w:val="24"/>
              </w:rPr>
              <w:t>1.当医院发生大规模的安全事件后，如信息系统中的计算机或网络设备系统的硬件、软件、数据因非法攻击或病毒入侵等安全原因而遭到破坏、更改，或已经发现的有可能造成上述现象的安全隐患，如非授权访问、信息泄密、系统性能严重下降、黑客攻击、蠕虫或大面积爆发病毒等，乙方常驻的安全团队将在</w:t>
            </w:r>
            <w:r>
              <w:rPr>
                <w:rFonts w:hint="eastAsia" w:cs="宋体"/>
                <w:color w:val="000000"/>
                <w:szCs w:val="24"/>
                <w:lang w:val="en-US" w:eastAsia="zh-CN"/>
              </w:rPr>
              <w:t>1</w:t>
            </w:r>
            <w:r>
              <w:rPr>
                <w:rFonts w:hint="eastAsia" w:cs="宋体"/>
                <w:color w:val="000000"/>
                <w:szCs w:val="24"/>
              </w:rPr>
              <w:t>小时之内赶赴现场协助解决问题，必要时应提供入侵调查分析、安全审计预警与黑客追踪服务。</w:t>
            </w:r>
            <w:r>
              <w:rPr>
                <w:rFonts w:hint="eastAsia" w:cs="宋体"/>
                <w:color w:val="000000"/>
                <w:szCs w:val="24"/>
              </w:rPr>
              <w:br w:type="textWrapping"/>
            </w:r>
            <w:r>
              <w:rPr>
                <w:rFonts w:hint="eastAsia" w:cs="宋体"/>
                <w:color w:val="000000"/>
                <w:szCs w:val="24"/>
              </w:rPr>
              <w:t>2.安全事件响应要求驻有安全工程师，在接到医院的安全事件紧急救援服务请求后，本地安全工程师立即响应，通过预先确认的远程连接方式登录到相应的系统上，对安全事件进行排查，在发现远程登录无法解决的安全事件后，立即采用最快的交通方式赶赴甲方现场，</w:t>
            </w:r>
            <w:r>
              <w:rPr>
                <w:rFonts w:hint="eastAsia" w:cs="宋体"/>
                <w:color w:val="000000"/>
                <w:szCs w:val="24"/>
                <w:lang w:val="en-US" w:eastAsia="zh-CN"/>
              </w:rPr>
              <w:t>1</w:t>
            </w:r>
            <w:r>
              <w:rPr>
                <w:rFonts w:hint="eastAsia" w:cs="宋体"/>
                <w:color w:val="000000"/>
                <w:szCs w:val="24"/>
              </w:rPr>
              <w:t>小时内可达到医院的现场</w:t>
            </w:r>
          </w:p>
        </w:tc>
      </w:tr>
      <w:tr>
        <w:tblPrEx>
          <w:tblLayout w:type="fixed"/>
          <w:tblCellMar>
            <w:top w:w="0" w:type="dxa"/>
            <w:left w:w="108" w:type="dxa"/>
            <w:bottom w:w="0" w:type="dxa"/>
            <w:right w:w="108" w:type="dxa"/>
          </w:tblCellMar>
        </w:tblPrEx>
        <w:trPr>
          <w:trHeight w:val="4896" w:hRule="atLeast"/>
        </w:trPr>
        <w:tc>
          <w:tcPr>
            <w:tcW w:w="837" w:type="dxa"/>
            <w:tcBorders>
              <w:top w:val="nil"/>
              <w:left w:val="single" w:color="auto" w:sz="4" w:space="0"/>
              <w:bottom w:val="single" w:color="auto" w:sz="4" w:space="0"/>
              <w:right w:val="single" w:color="auto" w:sz="4" w:space="0"/>
            </w:tcBorders>
            <w:noWrap/>
            <w:vAlign w:val="center"/>
          </w:tcPr>
          <w:p>
            <w:pPr>
              <w:spacing w:line="240" w:lineRule="auto"/>
              <w:jc w:val="center"/>
              <w:rPr>
                <w:rFonts w:hint="eastAsia" w:cs="宋体"/>
                <w:color w:val="000000"/>
                <w:szCs w:val="24"/>
              </w:rPr>
            </w:pPr>
            <w:r>
              <w:rPr>
                <w:rFonts w:hint="eastAsia" w:cs="宋体"/>
                <w:color w:val="000000"/>
                <w:szCs w:val="24"/>
              </w:rPr>
              <w:t>3</w:t>
            </w:r>
          </w:p>
        </w:tc>
        <w:tc>
          <w:tcPr>
            <w:tcW w:w="1778" w:type="dxa"/>
            <w:tcBorders>
              <w:top w:val="nil"/>
              <w:left w:val="nil"/>
              <w:bottom w:val="single" w:color="auto" w:sz="4" w:space="0"/>
              <w:right w:val="single" w:color="auto" w:sz="4" w:space="0"/>
            </w:tcBorders>
            <w:noWrap/>
            <w:vAlign w:val="center"/>
          </w:tcPr>
          <w:p>
            <w:pPr>
              <w:spacing w:line="240" w:lineRule="auto"/>
              <w:jc w:val="center"/>
              <w:rPr>
                <w:rFonts w:hint="eastAsia" w:cs="宋体"/>
                <w:color w:val="000000"/>
                <w:szCs w:val="24"/>
              </w:rPr>
            </w:pPr>
            <w:r>
              <w:rPr>
                <w:rFonts w:hint="eastAsia" w:cs="宋体"/>
                <w:color w:val="000000"/>
                <w:szCs w:val="24"/>
              </w:rPr>
              <w:t>服务内容</w:t>
            </w:r>
          </w:p>
        </w:tc>
        <w:tc>
          <w:tcPr>
            <w:tcW w:w="5908" w:type="dxa"/>
            <w:tcBorders>
              <w:top w:val="nil"/>
              <w:left w:val="nil"/>
              <w:bottom w:val="single" w:color="auto" w:sz="4" w:space="0"/>
              <w:right w:val="single" w:color="auto" w:sz="4" w:space="0"/>
            </w:tcBorders>
            <w:vAlign w:val="center"/>
          </w:tcPr>
          <w:p>
            <w:pPr>
              <w:spacing w:line="240" w:lineRule="auto"/>
              <w:rPr>
                <w:rFonts w:hint="eastAsia" w:cs="宋体"/>
                <w:color w:val="000000"/>
                <w:szCs w:val="24"/>
              </w:rPr>
            </w:pPr>
            <w:r>
              <w:rPr>
                <w:rFonts w:hint="eastAsia" w:cs="宋体"/>
                <w:color w:val="000000"/>
                <w:szCs w:val="24"/>
              </w:rPr>
              <w:t>应急响应服务包括远程应急响应服务和本地应急响应服务，其主要内容如下：</w:t>
            </w:r>
            <w:r>
              <w:rPr>
                <w:rFonts w:hint="eastAsia" w:cs="宋体"/>
                <w:color w:val="000000"/>
                <w:szCs w:val="24"/>
              </w:rPr>
              <w:br w:type="textWrapping"/>
            </w:r>
            <w:r>
              <w:rPr>
                <w:rFonts w:hint="eastAsia" w:cs="宋体"/>
                <w:color w:val="000000"/>
                <w:szCs w:val="24"/>
              </w:rPr>
              <w:t>1.消除潜在安全隐患：通过日志信息和其他必要信息，检查后门程序和网络系统漏洞，消除其再次受到攻击的可能性，即消除今后的安全隐患，对系统的安全进行重新评估。</w:t>
            </w:r>
            <w:r>
              <w:rPr>
                <w:rFonts w:hint="eastAsia" w:cs="宋体"/>
                <w:color w:val="000000"/>
                <w:szCs w:val="24"/>
              </w:rPr>
              <w:br w:type="textWrapping"/>
            </w:r>
            <w:r>
              <w:rPr>
                <w:rFonts w:hint="eastAsia" w:cs="宋体"/>
                <w:color w:val="000000"/>
                <w:szCs w:val="24"/>
              </w:rPr>
              <w:t>2.检查安全日志：通过检查系统、防火墙、路由器等系统安全日志，为确认攻击来源和攻击手段以及调查取证提供必要的条件。</w:t>
            </w:r>
            <w:r>
              <w:rPr>
                <w:rFonts w:hint="eastAsia" w:cs="宋体"/>
                <w:color w:val="000000"/>
                <w:szCs w:val="24"/>
              </w:rPr>
              <w:br w:type="textWrapping"/>
            </w:r>
            <w:r>
              <w:rPr>
                <w:rFonts w:hint="eastAsia" w:cs="宋体"/>
                <w:color w:val="000000"/>
                <w:szCs w:val="24"/>
              </w:rPr>
              <w:t xml:space="preserve">3.入侵者追踪：通过所能得到的信息追踪入侵者，并记录其尽可能多的信息，为调查取证提供条件。 </w:t>
            </w:r>
            <w:r>
              <w:rPr>
                <w:rFonts w:hint="eastAsia" w:cs="宋体"/>
                <w:color w:val="000000"/>
                <w:szCs w:val="24"/>
              </w:rPr>
              <w:br w:type="textWrapping"/>
            </w:r>
            <w:r>
              <w:rPr>
                <w:rFonts w:hint="eastAsia" w:cs="宋体"/>
                <w:color w:val="000000"/>
                <w:szCs w:val="24"/>
              </w:rPr>
              <w:t>4.主机恢复：在甲方信息系统网络或主机受到攻击并且出现网页遭替换或系统丢失等恶性事件后，确认已经消除安全隐患，在系统网络管理人员的协助下，对应用系统或操作系统进行恢复，保证系统资源在第一时间内的可使用性。</w:t>
            </w:r>
            <w:r>
              <w:rPr>
                <w:rFonts w:hint="eastAsia" w:cs="宋体"/>
                <w:color w:val="000000"/>
                <w:szCs w:val="24"/>
              </w:rPr>
              <w:br w:type="textWrapping"/>
            </w:r>
            <w:r>
              <w:rPr>
                <w:rFonts w:hint="eastAsia" w:cs="宋体"/>
                <w:color w:val="000000"/>
                <w:szCs w:val="24"/>
              </w:rPr>
              <w:t>5.网络恢复：医院信息系统的核心交换机、路由设备等网络设备出现问题，在确定是受到攻击所造成的情况下，确认已消除安全隐患，在经过医院授权后，对网络设备进行恢复，保证医院信息系统网络资源在第一时间内的可使用性。</w:t>
            </w:r>
          </w:p>
        </w:tc>
      </w:tr>
      <w:tr>
        <w:tblPrEx>
          <w:tblLayout w:type="fixed"/>
          <w:tblCellMar>
            <w:top w:w="0" w:type="dxa"/>
            <w:left w:w="108" w:type="dxa"/>
            <w:bottom w:w="0" w:type="dxa"/>
            <w:right w:w="108" w:type="dxa"/>
          </w:tblCellMar>
        </w:tblPrEx>
        <w:trPr>
          <w:trHeight w:val="557" w:hRule="atLeast"/>
        </w:trPr>
        <w:tc>
          <w:tcPr>
            <w:tcW w:w="837" w:type="dxa"/>
            <w:tcBorders>
              <w:top w:val="nil"/>
              <w:left w:val="single" w:color="auto" w:sz="4" w:space="0"/>
              <w:bottom w:val="single" w:color="auto" w:sz="4" w:space="0"/>
              <w:right w:val="single" w:color="auto" w:sz="4" w:space="0"/>
            </w:tcBorders>
            <w:noWrap/>
            <w:vAlign w:val="center"/>
          </w:tcPr>
          <w:p>
            <w:pPr>
              <w:spacing w:line="240" w:lineRule="auto"/>
              <w:jc w:val="center"/>
              <w:rPr>
                <w:rFonts w:hint="eastAsia" w:cs="宋体"/>
                <w:color w:val="000000"/>
                <w:szCs w:val="24"/>
              </w:rPr>
            </w:pPr>
            <w:r>
              <w:rPr>
                <w:rFonts w:hint="eastAsia" w:cs="宋体"/>
                <w:color w:val="000000"/>
                <w:szCs w:val="24"/>
              </w:rPr>
              <w:t>4</w:t>
            </w:r>
          </w:p>
        </w:tc>
        <w:tc>
          <w:tcPr>
            <w:tcW w:w="1778" w:type="dxa"/>
            <w:tcBorders>
              <w:top w:val="nil"/>
              <w:left w:val="nil"/>
              <w:bottom w:val="single" w:color="auto" w:sz="4" w:space="0"/>
              <w:right w:val="single" w:color="auto" w:sz="4" w:space="0"/>
            </w:tcBorders>
            <w:noWrap/>
            <w:vAlign w:val="center"/>
          </w:tcPr>
          <w:p>
            <w:pPr>
              <w:spacing w:line="240" w:lineRule="auto"/>
              <w:jc w:val="center"/>
              <w:rPr>
                <w:rFonts w:hint="eastAsia" w:cs="宋体"/>
                <w:color w:val="000000"/>
                <w:szCs w:val="24"/>
              </w:rPr>
            </w:pPr>
            <w:r>
              <w:rPr>
                <w:rFonts w:hint="eastAsia" w:cs="宋体"/>
                <w:color w:val="000000"/>
                <w:szCs w:val="24"/>
              </w:rPr>
              <w:t>服务交付</w:t>
            </w:r>
          </w:p>
        </w:tc>
        <w:tc>
          <w:tcPr>
            <w:tcW w:w="5908" w:type="dxa"/>
            <w:tcBorders>
              <w:top w:val="nil"/>
              <w:left w:val="nil"/>
              <w:bottom w:val="single" w:color="auto" w:sz="4" w:space="0"/>
              <w:right w:val="single" w:color="auto" w:sz="4" w:space="0"/>
            </w:tcBorders>
            <w:vAlign w:val="center"/>
          </w:tcPr>
          <w:p>
            <w:pPr>
              <w:spacing w:line="240" w:lineRule="auto"/>
              <w:rPr>
                <w:rFonts w:hint="eastAsia" w:cs="宋体"/>
                <w:color w:val="000000"/>
                <w:szCs w:val="24"/>
              </w:rPr>
            </w:pPr>
            <w:r>
              <w:rPr>
                <w:rFonts w:hint="eastAsia" w:cs="宋体"/>
                <w:color w:val="000000"/>
                <w:szCs w:val="24"/>
              </w:rPr>
              <w:t>每次服务完成，在规定的时间内出具一份《安全应急报告》，报告中需包括但不限于以下内容：</w:t>
            </w:r>
            <w:r>
              <w:rPr>
                <w:rFonts w:hint="eastAsia" w:cs="宋体"/>
                <w:color w:val="000000"/>
                <w:szCs w:val="24"/>
              </w:rPr>
              <w:br w:type="textWrapping"/>
            </w:r>
            <w:r>
              <w:rPr>
                <w:rFonts w:hint="eastAsia" w:cs="宋体"/>
                <w:color w:val="000000"/>
                <w:szCs w:val="24"/>
              </w:rPr>
              <w:t>1.描述本次风险事件产生的原因；</w:t>
            </w:r>
            <w:r>
              <w:rPr>
                <w:rFonts w:hint="eastAsia" w:cs="宋体"/>
                <w:color w:val="000000"/>
                <w:szCs w:val="24"/>
              </w:rPr>
              <w:br w:type="textWrapping"/>
            </w:r>
            <w:r>
              <w:rPr>
                <w:rFonts w:hint="eastAsia" w:cs="宋体"/>
                <w:color w:val="000000"/>
                <w:szCs w:val="24"/>
              </w:rPr>
              <w:t>2.本次事件扩散的范围情况（影响的资产范围、影响程度）</w:t>
            </w:r>
            <w:r>
              <w:rPr>
                <w:rFonts w:hint="eastAsia" w:cs="宋体"/>
                <w:color w:val="000000"/>
                <w:szCs w:val="24"/>
              </w:rPr>
              <w:br w:type="textWrapping"/>
            </w:r>
            <w:r>
              <w:rPr>
                <w:rFonts w:hint="eastAsia" w:cs="宋体"/>
                <w:color w:val="000000"/>
                <w:szCs w:val="24"/>
              </w:rPr>
              <w:t>3.本次事件的整体过程（事件发生时间、扩散时间点、采用何种方式扩散、应急时间点、采用何种方式应急、止损时间点、应急完成时间点、溯源完成时间点等）；</w:t>
            </w:r>
            <w:r>
              <w:rPr>
                <w:rFonts w:hint="eastAsia" w:cs="宋体"/>
                <w:color w:val="000000"/>
                <w:szCs w:val="24"/>
              </w:rPr>
              <w:br w:type="textWrapping"/>
            </w:r>
            <w:r>
              <w:rPr>
                <w:rFonts w:hint="eastAsia" w:cs="宋体"/>
                <w:color w:val="000000"/>
                <w:szCs w:val="24"/>
              </w:rPr>
              <w:t>4.后续的加固措施（为避免类似事件再次发生应采用何种措施解决）。</w:t>
            </w:r>
          </w:p>
        </w:tc>
      </w:tr>
    </w:tbl>
    <w:p>
      <w:pPr>
        <w:pStyle w:val="55"/>
        <w:widowControl w:val="0"/>
        <w:ind w:left="860"/>
        <w:contextualSpacing w:val="0"/>
        <w:jc w:val="both"/>
        <w:rPr>
          <w:rFonts w:hint="eastAsia" w:ascii="宋体" w:hAnsi="宋体"/>
          <w:szCs w:val="21"/>
        </w:rPr>
      </w:pPr>
    </w:p>
    <w:p>
      <w:pPr>
        <w:pStyle w:val="5"/>
        <w:rPr>
          <w:color w:val="000000" w:themeColor="text1"/>
          <w14:textFill>
            <w14:solidFill>
              <w14:schemeClr w14:val="tx1"/>
            </w14:solidFill>
          </w14:textFill>
        </w:rPr>
      </w:pPr>
      <w:r>
        <w:rPr>
          <w:rFonts w:hint="eastAsia"/>
          <w:color w:val="000000" w:themeColor="text1"/>
          <w14:textFill>
            <w14:solidFill>
              <w14:schemeClr w14:val="tx1"/>
            </w14:solidFill>
          </w14:textFill>
        </w:rPr>
        <w:t>安全配置备份</w:t>
      </w:r>
    </w:p>
    <w:tbl>
      <w:tblPr>
        <w:tblStyle w:val="33"/>
        <w:tblW w:w="8523" w:type="dxa"/>
        <w:tblInd w:w="0" w:type="dxa"/>
        <w:tblLayout w:type="fixed"/>
        <w:tblCellMar>
          <w:top w:w="0" w:type="dxa"/>
          <w:left w:w="108" w:type="dxa"/>
          <w:bottom w:w="0" w:type="dxa"/>
          <w:right w:w="108" w:type="dxa"/>
        </w:tblCellMar>
      </w:tblPr>
      <w:tblGrid>
        <w:gridCol w:w="837"/>
        <w:gridCol w:w="1778"/>
        <w:gridCol w:w="5908"/>
      </w:tblGrid>
      <w:tr>
        <w:tblPrEx>
          <w:tblLayout w:type="fixed"/>
          <w:tblCellMar>
            <w:top w:w="0" w:type="dxa"/>
            <w:left w:w="108" w:type="dxa"/>
            <w:bottom w:w="0" w:type="dxa"/>
            <w:right w:w="108" w:type="dxa"/>
          </w:tblCellMar>
        </w:tblPrEx>
        <w:trPr>
          <w:trHeight w:val="288" w:hRule="atLeast"/>
        </w:trPr>
        <w:tc>
          <w:tcPr>
            <w:tcW w:w="837" w:type="dxa"/>
            <w:tcBorders>
              <w:top w:val="single" w:color="auto" w:sz="4" w:space="0"/>
              <w:left w:val="single" w:color="auto" w:sz="4" w:space="0"/>
              <w:bottom w:val="single" w:color="auto" w:sz="4" w:space="0"/>
              <w:right w:val="single" w:color="auto" w:sz="4" w:space="0"/>
            </w:tcBorders>
            <w:noWrap/>
            <w:vAlign w:val="center"/>
          </w:tcPr>
          <w:p>
            <w:pPr>
              <w:spacing w:line="240" w:lineRule="auto"/>
              <w:jc w:val="center"/>
              <w:rPr>
                <w:rFonts w:hint="eastAsia" w:cs="宋体"/>
                <w:b/>
                <w:bCs/>
                <w:color w:val="000000"/>
                <w:szCs w:val="24"/>
              </w:rPr>
            </w:pPr>
            <w:r>
              <w:rPr>
                <w:rFonts w:hint="eastAsia" w:cs="宋体"/>
                <w:b/>
                <w:bCs/>
                <w:color w:val="000000"/>
                <w:szCs w:val="24"/>
              </w:rPr>
              <w:t>序号</w:t>
            </w:r>
          </w:p>
        </w:tc>
        <w:tc>
          <w:tcPr>
            <w:tcW w:w="1778" w:type="dxa"/>
            <w:tcBorders>
              <w:top w:val="single" w:color="auto" w:sz="4" w:space="0"/>
              <w:left w:val="nil"/>
              <w:bottom w:val="single" w:color="auto" w:sz="4" w:space="0"/>
              <w:right w:val="single" w:color="auto" w:sz="4" w:space="0"/>
            </w:tcBorders>
            <w:noWrap/>
            <w:vAlign w:val="center"/>
          </w:tcPr>
          <w:p>
            <w:pPr>
              <w:spacing w:line="240" w:lineRule="auto"/>
              <w:jc w:val="center"/>
              <w:rPr>
                <w:rFonts w:hint="eastAsia" w:cs="宋体"/>
                <w:b/>
                <w:bCs/>
                <w:color w:val="000000"/>
                <w:szCs w:val="24"/>
              </w:rPr>
            </w:pPr>
            <w:r>
              <w:rPr>
                <w:rFonts w:hint="eastAsia" w:cs="宋体"/>
                <w:b/>
                <w:bCs/>
                <w:color w:val="000000"/>
                <w:szCs w:val="24"/>
              </w:rPr>
              <w:t>指标项</w:t>
            </w:r>
          </w:p>
        </w:tc>
        <w:tc>
          <w:tcPr>
            <w:tcW w:w="5908" w:type="dxa"/>
            <w:tcBorders>
              <w:top w:val="single" w:color="auto" w:sz="4" w:space="0"/>
              <w:left w:val="nil"/>
              <w:bottom w:val="single" w:color="auto" w:sz="4" w:space="0"/>
              <w:right w:val="single" w:color="auto" w:sz="4" w:space="0"/>
            </w:tcBorders>
            <w:vAlign w:val="center"/>
          </w:tcPr>
          <w:p>
            <w:pPr>
              <w:spacing w:line="240" w:lineRule="auto"/>
              <w:jc w:val="center"/>
              <w:rPr>
                <w:rFonts w:hint="eastAsia" w:cs="宋体"/>
                <w:b/>
                <w:bCs/>
                <w:color w:val="000000"/>
                <w:szCs w:val="24"/>
              </w:rPr>
            </w:pPr>
            <w:r>
              <w:rPr>
                <w:rFonts w:hint="eastAsia" w:cs="宋体"/>
                <w:b/>
                <w:bCs/>
                <w:color w:val="000000"/>
                <w:szCs w:val="24"/>
              </w:rPr>
              <w:t>指标要求</w:t>
            </w:r>
          </w:p>
        </w:tc>
      </w:tr>
      <w:tr>
        <w:tblPrEx>
          <w:tblLayout w:type="fixed"/>
          <w:tblCellMar>
            <w:top w:w="0" w:type="dxa"/>
            <w:left w:w="108" w:type="dxa"/>
            <w:bottom w:w="0" w:type="dxa"/>
            <w:right w:w="108" w:type="dxa"/>
          </w:tblCellMar>
        </w:tblPrEx>
        <w:trPr>
          <w:trHeight w:val="288" w:hRule="atLeast"/>
        </w:trPr>
        <w:tc>
          <w:tcPr>
            <w:tcW w:w="837" w:type="dxa"/>
            <w:tcBorders>
              <w:top w:val="nil"/>
              <w:left w:val="single" w:color="auto" w:sz="4" w:space="0"/>
              <w:bottom w:val="single" w:color="auto" w:sz="4" w:space="0"/>
              <w:right w:val="single" w:color="auto" w:sz="4" w:space="0"/>
            </w:tcBorders>
            <w:noWrap/>
            <w:vAlign w:val="center"/>
          </w:tcPr>
          <w:p>
            <w:pPr>
              <w:spacing w:line="240" w:lineRule="auto"/>
              <w:jc w:val="center"/>
              <w:rPr>
                <w:rFonts w:hint="eastAsia" w:cs="宋体"/>
                <w:color w:val="000000"/>
                <w:szCs w:val="24"/>
              </w:rPr>
            </w:pPr>
            <w:r>
              <w:rPr>
                <w:rFonts w:hint="eastAsia" w:cs="宋体"/>
                <w:color w:val="000000"/>
                <w:szCs w:val="24"/>
              </w:rPr>
              <w:t>1</w:t>
            </w:r>
          </w:p>
        </w:tc>
        <w:tc>
          <w:tcPr>
            <w:tcW w:w="1778" w:type="dxa"/>
            <w:tcBorders>
              <w:top w:val="nil"/>
              <w:left w:val="nil"/>
              <w:bottom w:val="single" w:color="auto" w:sz="4" w:space="0"/>
              <w:right w:val="single" w:color="auto" w:sz="4" w:space="0"/>
            </w:tcBorders>
            <w:noWrap/>
            <w:vAlign w:val="center"/>
          </w:tcPr>
          <w:p>
            <w:pPr>
              <w:spacing w:line="240" w:lineRule="auto"/>
              <w:jc w:val="center"/>
              <w:rPr>
                <w:rFonts w:hint="eastAsia" w:cs="宋体"/>
                <w:color w:val="000000"/>
                <w:szCs w:val="24"/>
              </w:rPr>
            </w:pPr>
            <w:r>
              <w:rPr>
                <w:rFonts w:hint="eastAsia" w:cs="宋体"/>
                <w:color w:val="000000"/>
                <w:szCs w:val="24"/>
              </w:rPr>
              <w:t>频次</w:t>
            </w:r>
          </w:p>
        </w:tc>
        <w:tc>
          <w:tcPr>
            <w:tcW w:w="5908" w:type="dxa"/>
            <w:tcBorders>
              <w:top w:val="nil"/>
              <w:left w:val="nil"/>
              <w:bottom w:val="single" w:color="auto" w:sz="4" w:space="0"/>
              <w:right w:val="single" w:color="auto" w:sz="4" w:space="0"/>
            </w:tcBorders>
            <w:vAlign w:val="center"/>
          </w:tcPr>
          <w:p>
            <w:pPr>
              <w:spacing w:line="240" w:lineRule="auto"/>
              <w:rPr>
                <w:rFonts w:hint="eastAsia" w:cs="宋体"/>
                <w:color w:val="000000"/>
                <w:szCs w:val="24"/>
              </w:rPr>
            </w:pPr>
            <w:r>
              <w:rPr>
                <w:rFonts w:hint="eastAsia" w:cs="宋体"/>
                <w:color w:val="000000"/>
                <w:szCs w:val="24"/>
              </w:rPr>
              <w:t>不定期备份，一个季度</w:t>
            </w:r>
            <w:r>
              <w:rPr>
                <w:rFonts w:hint="eastAsia" w:cs="宋体"/>
                <w:color w:val="000000"/>
                <w:szCs w:val="24"/>
                <w:lang w:val="en-US" w:eastAsia="zh-CN"/>
              </w:rPr>
              <w:t>至少</w:t>
            </w:r>
            <w:r>
              <w:rPr>
                <w:rFonts w:hint="eastAsia" w:cs="宋体"/>
                <w:color w:val="000000"/>
                <w:szCs w:val="24"/>
              </w:rPr>
              <w:t>一次</w:t>
            </w:r>
          </w:p>
        </w:tc>
      </w:tr>
      <w:tr>
        <w:tblPrEx>
          <w:tblLayout w:type="fixed"/>
          <w:tblCellMar>
            <w:top w:w="0" w:type="dxa"/>
            <w:left w:w="108" w:type="dxa"/>
            <w:bottom w:w="0" w:type="dxa"/>
            <w:right w:w="108" w:type="dxa"/>
          </w:tblCellMar>
        </w:tblPrEx>
        <w:trPr>
          <w:trHeight w:val="6048" w:hRule="atLeast"/>
        </w:trPr>
        <w:tc>
          <w:tcPr>
            <w:tcW w:w="837" w:type="dxa"/>
            <w:tcBorders>
              <w:top w:val="nil"/>
              <w:left w:val="single" w:color="auto" w:sz="4" w:space="0"/>
              <w:bottom w:val="single" w:color="auto" w:sz="4" w:space="0"/>
              <w:right w:val="single" w:color="auto" w:sz="4" w:space="0"/>
            </w:tcBorders>
            <w:noWrap/>
            <w:vAlign w:val="center"/>
          </w:tcPr>
          <w:p>
            <w:pPr>
              <w:spacing w:line="240" w:lineRule="auto"/>
              <w:jc w:val="center"/>
              <w:rPr>
                <w:rFonts w:hint="eastAsia" w:cs="宋体"/>
                <w:color w:val="000000"/>
                <w:szCs w:val="24"/>
              </w:rPr>
            </w:pPr>
            <w:r>
              <w:rPr>
                <w:rFonts w:hint="eastAsia" w:cs="宋体"/>
                <w:color w:val="000000"/>
                <w:szCs w:val="24"/>
              </w:rPr>
              <w:t>2</w:t>
            </w:r>
          </w:p>
        </w:tc>
        <w:tc>
          <w:tcPr>
            <w:tcW w:w="1778" w:type="dxa"/>
            <w:tcBorders>
              <w:top w:val="nil"/>
              <w:left w:val="nil"/>
              <w:bottom w:val="single" w:color="auto" w:sz="4" w:space="0"/>
              <w:right w:val="single" w:color="auto" w:sz="4" w:space="0"/>
            </w:tcBorders>
            <w:noWrap/>
            <w:vAlign w:val="center"/>
          </w:tcPr>
          <w:p>
            <w:pPr>
              <w:spacing w:line="240" w:lineRule="auto"/>
              <w:jc w:val="center"/>
              <w:rPr>
                <w:rFonts w:hint="eastAsia" w:cs="宋体"/>
                <w:color w:val="000000"/>
                <w:szCs w:val="24"/>
              </w:rPr>
            </w:pPr>
            <w:r>
              <w:rPr>
                <w:rFonts w:hint="eastAsia" w:cs="宋体"/>
                <w:color w:val="000000"/>
                <w:szCs w:val="24"/>
              </w:rPr>
              <w:t>服务要求</w:t>
            </w:r>
          </w:p>
        </w:tc>
        <w:tc>
          <w:tcPr>
            <w:tcW w:w="5908" w:type="dxa"/>
            <w:tcBorders>
              <w:top w:val="nil"/>
              <w:left w:val="nil"/>
              <w:bottom w:val="single" w:color="auto" w:sz="4" w:space="0"/>
              <w:right w:val="single" w:color="auto" w:sz="4" w:space="0"/>
            </w:tcBorders>
            <w:vAlign w:val="center"/>
          </w:tcPr>
          <w:p>
            <w:pPr>
              <w:spacing w:line="240" w:lineRule="auto"/>
              <w:rPr>
                <w:rFonts w:hint="eastAsia" w:cs="宋体"/>
                <w:color w:val="000000"/>
                <w:szCs w:val="24"/>
              </w:rPr>
            </w:pPr>
            <w:r>
              <w:rPr>
                <w:rFonts w:hint="eastAsia" w:cs="宋体"/>
                <w:color w:val="000000"/>
                <w:szCs w:val="24"/>
              </w:rPr>
              <w:t>为了保证安全设备的健康运行情况，使得设备在失效或配置丢失时，能依靠备份尽快地恢复系统与配置，保护关键策略，保证配置不丢失，需根据实际情况对院方网内重要网络安全设备配置进行不定期的配置备份。整体备份要求如下：</w:t>
            </w:r>
            <w:r>
              <w:rPr>
                <w:rFonts w:hint="eastAsia" w:cs="宋体"/>
                <w:color w:val="000000"/>
                <w:szCs w:val="24"/>
              </w:rPr>
              <w:br w:type="textWrapping"/>
            </w:r>
            <w:r>
              <w:rPr>
                <w:rFonts w:hint="eastAsia" w:cs="宋体"/>
                <w:color w:val="000000"/>
                <w:szCs w:val="24"/>
              </w:rPr>
              <w:t>1.在重要节假日和特殊时期（含粤盾、粤网安、国护、中秋、国庆、两会、春节、五一等）对院内关键网络设备配置进行全量配置备份；</w:t>
            </w:r>
            <w:r>
              <w:rPr>
                <w:rFonts w:hint="eastAsia" w:cs="宋体"/>
                <w:color w:val="000000"/>
                <w:szCs w:val="24"/>
              </w:rPr>
              <w:br w:type="textWrapping"/>
            </w:r>
            <w:r>
              <w:rPr>
                <w:rFonts w:hint="eastAsia" w:cs="宋体"/>
                <w:color w:val="000000"/>
                <w:szCs w:val="24"/>
              </w:rPr>
              <w:t>2.在院方业主重大改动前期，如新业务上线、网络架构调整、新设备上线等情况下，对改动范围内重要网络设备配置进行全量备份。</w:t>
            </w:r>
            <w:r>
              <w:rPr>
                <w:rFonts w:hint="eastAsia" w:cs="宋体"/>
                <w:color w:val="000000"/>
                <w:szCs w:val="24"/>
              </w:rPr>
              <w:br w:type="textWrapping"/>
            </w:r>
            <w:r>
              <w:rPr>
                <w:rFonts w:hint="eastAsia" w:cs="宋体"/>
                <w:color w:val="000000"/>
                <w:szCs w:val="24"/>
              </w:rPr>
              <w:t>3.每季度对服务范围内网络安全设备进行一次全量备份。</w:t>
            </w:r>
            <w:r>
              <w:rPr>
                <w:rFonts w:hint="eastAsia" w:cs="宋体"/>
                <w:color w:val="000000"/>
                <w:szCs w:val="24"/>
              </w:rPr>
              <w:br w:type="textWrapping"/>
            </w:r>
            <w:r>
              <w:rPr>
                <w:rFonts w:hint="eastAsia" w:cs="宋体"/>
                <w:color w:val="000000"/>
                <w:szCs w:val="24"/>
              </w:rPr>
              <w:t>4. 备份工作实施时需按以下标准执行：</w:t>
            </w:r>
            <w:r>
              <w:rPr>
                <w:rFonts w:hint="eastAsia" w:cs="宋体"/>
                <w:color w:val="000000"/>
                <w:szCs w:val="24"/>
              </w:rPr>
              <w:br w:type="textWrapping"/>
            </w:r>
            <w:r>
              <w:rPr>
                <w:rFonts w:hint="eastAsia" w:cs="宋体"/>
                <w:color w:val="000000"/>
                <w:szCs w:val="24"/>
              </w:rPr>
              <w:t>1）备份前期应熟悉院内所有范围内设备的配置文件所在位置，文件导入导出方式；</w:t>
            </w:r>
            <w:r>
              <w:rPr>
                <w:rFonts w:hint="eastAsia" w:cs="宋体"/>
                <w:color w:val="000000"/>
                <w:szCs w:val="24"/>
              </w:rPr>
              <w:br w:type="textWrapping"/>
            </w:r>
            <w:r>
              <w:rPr>
                <w:rFonts w:hint="eastAsia" w:cs="宋体"/>
                <w:color w:val="000000"/>
                <w:szCs w:val="24"/>
              </w:rPr>
              <w:t>2）关键的网络安全设备的策略配置进行备份，防止策略的丢失与错误变更配置；涉及备份和恢复的事由专人负责备份工作，并认真填写备份日志。</w:t>
            </w:r>
            <w:r>
              <w:rPr>
                <w:rFonts w:hint="eastAsia" w:cs="宋体"/>
                <w:color w:val="000000"/>
                <w:szCs w:val="24"/>
              </w:rPr>
              <w:br w:type="textWrapping"/>
            </w:r>
            <w:r>
              <w:rPr>
                <w:rFonts w:hint="eastAsia" w:cs="宋体"/>
                <w:color w:val="000000"/>
                <w:szCs w:val="24"/>
              </w:rPr>
              <w:t>3）备份数据应该严格管理，妥善保存；备份资料保管地点应有防火、防热、防潮、防尘、防磁、防盗设施。</w:t>
            </w:r>
            <w:r>
              <w:rPr>
                <w:rFonts w:hint="eastAsia" w:cs="宋体"/>
                <w:color w:val="000000"/>
                <w:szCs w:val="24"/>
              </w:rPr>
              <w:br w:type="textWrapping"/>
            </w:r>
            <w:r>
              <w:rPr>
                <w:rFonts w:hint="eastAsia" w:cs="宋体"/>
                <w:color w:val="000000"/>
                <w:szCs w:val="24"/>
              </w:rPr>
              <w:t>4）一旦发生配置丢失或数据破坏等情况，要由负责人员进行备份数据的恢复，以免造成不必要的麻烦或更大的损失。</w:t>
            </w:r>
            <w:r>
              <w:rPr>
                <w:rFonts w:hint="eastAsia" w:cs="宋体"/>
                <w:color w:val="000000"/>
                <w:szCs w:val="24"/>
              </w:rPr>
              <w:br w:type="textWrapping"/>
            </w:r>
            <w:r>
              <w:rPr>
                <w:rFonts w:hint="eastAsia" w:cs="宋体"/>
                <w:color w:val="000000"/>
                <w:szCs w:val="24"/>
              </w:rPr>
              <w:t>5）备份数据恢复后， 应验证恢复配置后的设备联通性情况、配置或策略有效性情况。</w:t>
            </w:r>
          </w:p>
        </w:tc>
      </w:tr>
      <w:tr>
        <w:tblPrEx>
          <w:tblLayout w:type="fixed"/>
          <w:tblCellMar>
            <w:top w:w="0" w:type="dxa"/>
            <w:left w:w="108" w:type="dxa"/>
            <w:bottom w:w="0" w:type="dxa"/>
            <w:right w:w="108" w:type="dxa"/>
          </w:tblCellMar>
        </w:tblPrEx>
        <w:trPr>
          <w:trHeight w:val="864" w:hRule="atLeast"/>
        </w:trPr>
        <w:tc>
          <w:tcPr>
            <w:tcW w:w="837" w:type="dxa"/>
            <w:tcBorders>
              <w:top w:val="nil"/>
              <w:left w:val="single" w:color="auto" w:sz="4" w:space="0"/>
              <w:bottom w:val="single" w:color="auto" w:sz="4" w:space="0"/>
              <w:right w:val="single" w:color="auto" w:sz="4" w:space="0"/>
            </w:tcBorders>
            <w:noWrap/>
            <w:vAlign w:val="center"/>
          </w:tcPr>
          <w:p>
            <w:pPr>
              <w:spacing w:line="240" w:lineRule="auto"/>
              <w:jc w:val="center"/>
              <w:rPr>
                <w:rFonts w:hint="eastAsia" w:cs="宋体"/>
                <w:color w:val="000000"/>
                <w:szCs w:val="24"/>
              </w:rPr>
            </w:pPr>
            <w:r>
              <w:rPr>
                <w:rFonts w:hint="eastAsia" w:cs="宋体"/>
                <w:color w:val="000000"/>
                <w:szCs w:val="24"/>
              </w:rPr>
              <w:t>3</w:t>
            </w:r>
          </w:p>
        </w:tc>
        <w:tc>
          <w:tcPr>
            <w:tcW w:w="1778" w:type="dxa"/>
            <w:tcBorders>
              <w:top w:val="nil"/>
              <w:left w:val="nil"/>
              <w:bottom w:val="single" w:color="auto" w:sz="4" w:space="0"/>
              <w:right w:val="single" w:color="auto" w:sz="4" w:space="0"/>
            </w:tcBorders>
            <w:noWrap/>
            <w:vAlign w:val="center"/>
          </w:tcPr>
          <w:p>
            <w:pPr>
              <w:spacing w:line="240" w:lineRule="auto"/>
              <w:jc w:val="center"/>
              <w:rPr>
                <w:rFonts w:hint="eastAsia" w:cs="宋体"/>
                <w:color w:val="000000"/>
                <w:szCs w:val="24"/>
              </w:rPr>
            </w:pPr>
            <w:r>
              <w:rPr>
                <w:rFonts w:hint="eastAsia" w:cs="宋体"/>
                <w:color w:val="000000"/>
                <w:szCs w:val="24"/>
              </w:rPr>
              <w:t>服务交付</w:t>
            </w:r>
          </w:p>
        </w:tc>
        <w:tc>
          <w:tcPr>
            <w:tcW w:w="5908" w:type="dxa"/>
            <w:tcBorders>
              <w:top w:val="nil"/>
              <w:left w:val="nil"/>
              <w:bottom w:val="single" w:color="auto" w:sz="4" w:space="0"/>
              <w:right w:val="single" w:color="auto" w:sz="4" w:space="0"/>
            </w:tcBorders>
            <w:vAlign w:val="center"/>
          </w:tcPr>
          <w:p>
            <w:pPr>
              <w:spacing w:line="240" w:lineRule="auto"/>
              <w:rPr>
                <w:rFonts w:hint="eastAsia" w:cs="宋体"/>
                <w:color w:val="000000"/>
                <w:szCs w:val="24"/>
              </w:rPr>
            </w:pPr>
            <w:r>
              <w:rPr>
                <w:rFonts w:hint="eastAsia" w:cs="宋体"/>
                <w:color w:val="000000"/>
                <w:szCs w:val="24"/>
              </w:rPr>
              <w:t>每次备份后服务人员需提交一份备份记录报告，说明该次服务备份的设备范围、备份方式、备份结果；如涉及备份恢复事项的，还需要说明需备份恢复的原因、恢复方式、恢复结果等情况。</w:t>
            </w:r>
          </w:p>
        </w:tc>
      </w:tr>
    </w:tbl>
    <w:p>
      <w:pPr>
        <w:rPr>
          <w:rFonts w:hint="eastAsia"/>
          <w:szCs w:val="21"/>
        </w:rPr>
      </w:pPr>
    </w:p>
    <w:p>
      <w:pPr>
        <w:rPr>
          <w:rFonts w:hint="eastAsia"/>
          <w:szCs w:val="21"/>
        </w:rPr>
      </w:pPr>
    </w:p>
    <w:p>
      <w:pPr>
        <w:pStyle w:val="5"/>
        <w:rPr>
          <w:color w:val="000000" w:themeColor="text1"/>
          <w14:textFill>
            <w14:solidFill>
              <w14:schemeClr w14:val="tx1"/>
            </w14:solidFill>
          </w14:textFill>
        </w:rPr>
      </w:pPr>
      <w:r>
        <w:rPr>
          <w:rFonts w:hint="eastAsia"/>
          <w:color w:val="000000" w:themeColor="text1"/>
          <w14:textFill>
            <w14:solidFill>
              <w14:schemeClr w14:val="tx1"/>
            </w14:solidFill>
          </w14:textFill>
        </w:rPr>
        <w:t>安全设备日志分析</w:t>
      </w:r>
    </w:p>
    <w:tbl>
      <w:tblPr>
        <w:tblStyle w:val="33"/>
        <w:tblW w:w="8523" w:type="dxa"/>
        <w:tblInd w:w="0" w:type="dxa"/>
        <w:tblLayout w:type="fixed"/>
        <w:tblCellMar>
          <w:top w:w="0" w:type="dxa"/>
          <w:left w:w="108" w:type="dxa"/>
          <w:bottom w:w="0" w:type="dxa"/>
          <w:right w:w="108" w:type="dxa"/>
        </w:tblCellMar>
      </w:tblPr>
      <w:tblGrid>
        <w:gridCol w:w="837"/>
        <w:gridCol w:w="1778"/>
        <w:gridCol w:w="5908"/>
      </w:tblGrid>
      <w:tr>
        <w:tblPrEx>
          <w:tblLayout w:type="fixed"/>
          <w:tblCellMar>
            <w:top w:w="0" w:type="dxa"/>
            <w:left w:w="108" w:type="dxa"/>
            <w:bottom w:w="0" w:type="dxa"/>
            <w:right w:w="108" w:type="dxa"/>
          </w:tblCellMar>
        </w:tblPrEx>
        <w:trPr>
          <w:trHeight w:val="288" w:hRule="atLeast"/>
        </w:trPr>
        <w:tc>
          <w:tcPr>
            <w:tcW w:w="837" w:type="dxa"/>
            <w:tcBorders>
              <w:top w:val="single" w:color="auto" w:sz="4" w:space="0"/>
              <w:left w:val="single" w:color="auto" w:sz="4" w:space="0"/>
              <w:bottom w:val="single" w:color="auto" w:sz="4" w:space="0"/>
              <w:right w:val="single" w:color="auto" w:sz="4" w:space="0"/>
            </w:tcBorders>
            <w:noWrap/>
            <w:vAlign w:val="center"/>
          </w:tcPr>
          <w:p>
            <w:pPr>
              <w:spacing w:line="240" w:lineRule="auto"/>
              <w:jc w:val="center"/>
              <w:rPr>
                <w:rFonts w:hint="eastAsia" w:cs="宋体"/>
                <w:b/>
                <w:bCs/>
                <w:color w:val="000000"/>
                <w:szCs w:val="24"/>
              </w:rPr>
            </w:pPr>
            <w:r>
              <w:rPr>
                <w:rFonts w:hint="eastAsia" w:cs="宋体"/>
                <w:b/>
                <w:bCs/>
                <w:color w:val="000000"/>
                <w:szCs w:val="24"/>
              </w:rPr>
              <w:t>序号</w:t>
            </w:r>
          </w:p>
        </w:tc>
        <w:tc>
          <w:tcPr>
            <w:tcW w:w="1778" w:type="dxa"/>
            <w:tcBorders>
              <w:top w:val="single" w:color="auto" w:sz="4" w:space="0"/>
              <w:left w:val="nil"/>
              <w:bottom w:val="single" w:color="auto" w:sz="4" w:space="0"/>
              <w:right w:val="single" w:color="auto" w:sz="4" w:space="0"/>
            </w:tcBorders>
            <w:noWrap/>
            <w:vAlign w:val="center"/>
          </w:tcPr>
          <w:p>
            <w:pPr>
              <w:spacing w:line="240" w:lineRule="auto"/>
              <w:jc w:val="center"/>
              <w:rPr>
                <w:rFonts w:hint="eastAsia" w:cs="宋体"/>
                <w:b/>
                <w:bCs/>
                <w:color w:val="000000"/>
                <w:szCs w:val="24"/>
              </w:rPr>
            </w:pPr>
            <w:r>
              <w:rPr>
                <w:rFonts w:hint="eastAsia" w:cs="宋体"/>
                <w:b/>
                <w:bCs/>
                <w:color w:val="000000"/>
                <w:szCs w:val="24"/>
              </w:rPr>
              <w:t>指标项</w:t>
            </w:r>
          </w:p>
        </w:tc>
        <w:tc>
          <w:tcPr>
            <w:tcW w:w="5908" w:type="dxa"/>
            <w:tcBorders>
              <w:top w:val="single" w:color="auto" w:sz="4" w:space="0"/>
              <w:left w:val="nil"/>
              <w:bottom w:val="single" w:color="auto" w:sz="4" w:space="0"/>
              <w:right w:val="single" w:color="auto" w:sz="4" w:space="0"/>
            </w:tcBorders>
            <w:vAlign w:val="center"/>
          </w:tcPr>
          <w:p>
            <w:pPr>
              <w:spacing w:line="240" w:lineRule="auto"/>
              <w:jc w:val="center"/>
              <w:rPr>
                <w:rFonts w:hint="eastAsia" w:cs="宋体"/>
                <w:b/>
                <w:bCs/>
                <w:color w:val="000000"/>
                <w:szCs w:val="24"/>
              </w:rPr>
            </w:pPr>
            <w:r>
              <w:rPr>
                <w:rFonts w:hint="eastAsia" w:cs="宋体"/>
                <w:b/>
                <w:bCs/>
                <w:color w:val="000000"/>
                <w:szCs w:val="24"/>
              </w:rPr>
              <w:t>指标要求</w:t>
            </w:r>
          </w:p>
        </w:tc>
      </w:tr>
      <w:tr>
        <w:tblPrEx>
          <w:tblLayout w:type="fixed"/>
          <w:tblCellMar>
            <w:top w:w="0" w:type="dxa"/>
            <w:left w:w="108" w:type="dxa"/>
            <w:bottom w:w="0" w:type="dxa"/>
            <w:right w:w="108" w:type="dxa"/>
          </w:tblCellMar>
        </w:tblPrEx>
        <w:trPr>
          <w:trHeight w:val="288" w:hRule="atLeast"/>
        </w:trPr>
        <w:tc>
          <w:tcPr>
            <w:tcW w:w="837" w:type="dxa"/>
            <w:tcBorders>
              <w:top w:val="nil"/>
              <w:left w:val="single" w:color="auto" w:sz="4" w:space="0"/>
              <w:bottom w:val="single" w:color="auto" w:sz="4" w:space="0"/>
              <w:right w:val="single" w:color="auto" w:sz="4" w:space="0"/>
            </w:tcBorders>
            <w:noWrap/>
            <w:vAlign w:val="center"/>
          </w:tcPr>
          <w:p>
            <w:pPr>
              <w:spacing w:line="240" w:lineRule="auto"/>
              <w:jc w:val="center"/>
              <w:rPr>
                <w:rFonts w:hint="eastAsia" w:cs="宋体"/>
                <w:color w:val="000000"/>
                <w:szCs w:val="24"/>
              </w:rPr>
            </w:pPr>
            <w:r>
              <w:rPr>
                <w:rFonts w:hint="eastAsia" w:cs="宋体"/>
                <w:color w:val="000000"/>
                <w:szCs w:val="24"/>
              </w:rPr>
              <w:t>1</w:t>
            </w:r>
          </w:p>
        </w:tc>
        <w:tc>
          <w:tcPr>
            <w:tcW w:w="1778" w:type="dxa"/>
            <w:tcBorders>
              <w:top w:val="nil"/>
              <w:left w:val="nil"/>
              <w:bottom w:val="single" w:color="auto" w:sz="4" w:space="0"/>
              <w:right w:val="single" w:color="auto" w:sz="4" w:space="0"/>
            </w:tcBorders>
            <w:noWrap/>
            <w:vAlign w:val="center"/>
          </w:tcPr>
          <w:p>
            <w:pPr>
              <w:spacing w:line="240" w:lineRule="auto"/>
              <w:jc w:val="center"/>
              <w:rPr>
                <w:rFonts w:hint="eastAsia" w:cs="宋体"/>
                <w:color w:val="000000"/>
                <w:szCs w:val="24"/>
              </w:rPr>
            </w:pPr>
            <w:r>
              <w:rPr>
                <w:rFonts w:hint="eastAsia" w:cs="宋体"/>
                <w:color w:val="000000"/>
                <w:szCs w:val="24"/>
              </w:rPr>
              <w:t>频次</w:t>
            </w:r>
          </w:p>
        </w:tc>
        <w:tc>
          <w:tcPr>
            <w:tcW w:w="5908" w:type="dxa"/>
            <w:tcBorders>
              <w:top w:val="nil"/>
              <w:left w:val="nil"/>
              <w:bottom w:val="single" w:color="auto" w:sz="4" w:space="0"/>
              <w:right w:val="single" w:color="auto" w:sz="4" w:space="0"/>
            </w:tcBorders>
            <w:vAlign w:val="center"/>
          </w:tcPr>
          <w:p>
            <w:pPr>
              <w:spacing w:line="240" w:lineRule="auto"/>
              <w:rPr>
                <w:rFonts w:hint="eastAsia" w:cs="宋体"/>
                <w:color w:val="000000"/>
                <w:szCs w:val="24"/>
              </w:rPr>
            </w:pPr>
            <w:r>
              <w:rPr>
                <w:rFonts w:hint="eastAsia" w:cs="宋体"/>
                <w:color w:val="000000"/>
                <w:szCs w:val="24"/>
              </w:rPr>
              <w:t>一季度一次</w:t>
            </w:r>
          </w:p>
        </w:tc>
      </w:tr>
      <w:tr>
        <w:tblPrEx>
          <w:tblLayout w:type="fixed"/>
          <w:tblCellMar>
            <w:top w:w="0" w:type="dxa"/>
            <w:left w:w="108" w:type="dxa"/>
            <w:bottom w:w="0" w:type="dxa"/>
            <w:right w:w="108" w:type="dxa"/>
          </w:tblCellMar>
        </w:tblPrEx>
        <w:trPr>
          <w:trHeight w:val="5760" w:hRule="atLeast"/>
        </w:trPr>
        <w:tc>
          <w:tcPr>
            <w:tcW w:w="837" w:type="dxa"/>
            <w:tcBorders>
              <w:top w:val="nil"/>
              <w:left w:val="single" w:color="auto" w:sz="4" w:space="0"/>
              <w:bottom w:val="single" w:color="auto" w:sz="4" w:space="0"/>
              <w:right w:val="single" w:color="auto" w:sz="4" w:space="0"/>
            </w:tcBorders>
            <w:noWrap/>
            <w:vAlign w:val="center"/>
          </w:tcPr>
          <w:p>
            <w:pPr>
              <w:spacing w:line="240" w:lineRule="auto"/>
              <w:jc w:val="center"/>
              <w:rPr>
                <w:rFonts w:hint="eastAsia" w:cs="宋体"/>
                <w:color w:val="000000"/>
                <w:szCs w:val="24"/>
              </w:rPr>
            </w:pPr>
            <w:r>
              <w:rPr>
                <w:rFonts w:hint="eastAsia" w:cs="宋体"/>
                <w:color w:val="000000"/>
                <w:szCs w:val="24"/>
              </w:rPr>
              <w:t>2</w:t>
            </w:r>
          </w:p>
        </w:tc>
        <w:tc>
          <w:tcPr>
            <w:tcW w:w="1778" w:type="dxa"/>
            <w:tcBorders>
              <w:top w:val="nil"/>
              <w:left w:val="nil"/>
              <w:bottom w:val="single" w:color="auto" w:sz="4" w:space="0"/>
              <w:right w:val="single" w:color="auto" w:sz="4" w:space="0"/>
            </w:tcBorders>
            <w:noWrap/>
            <w:vAlign w:val="center"/>
          </w:tcPr>
          <w:p>
            <w:pPr>
              <w:spacing w:line="240" w:lineRule="auto"/>
              <w:jc w:val="center"/>
              <w:rPr>
                <w:rFonts w:hint="eastAsia" w:cs="宋体"/>
                <w:color w:val="000000"/>
                <w:szCs w:val="24"/>
              </w:rPr>
            </w:pPr>
            <w:r>
              <w:rPr>
                <w:rFonts w:hint="eastAsia" w:cs="宋体"/>
                <w:color w:val="000000"/>
                <w:szCs w:val="24"/>
              </w:rPr>
              <w:t>服务要求</w:t>
            </w:r>
          </w:p>
        </w:tc>
        <w:tc>
          <w:tcPr>
            <w:tcW w:w="5908" w:type="dxa"/>
            <w:tcBorders>
              <w:top w:val="nil"/>
              <w:left w:val="nil"/>
              <w:bottom w:val="single" w:color="auto" w:sz="4" w:space="0"/>
              <w:right w:val="single" w:color="auto" w:sz="4" w:space="0"/>
            </w:tcBorders>
            <w:vAlign w:val="center"/>
          </w:tcPr>
          <w:p>
            <w:pPr>
              <w:spacing w:line="240" w:lineRule="auto"/>
              <w:rPr>
                <w:rFonts w:hint="eastAsia" w:cs="宋体"/>
                <w:color w:val="000000"/>
                <w:szCs w:val="24"/>
              </w:rPr>
            </w:pPr>
            <w:r>
              <w:rPr>
                <w:rFonts w:hint="eastAsia" w:cs="宋体"/>
                <w:color w:val="000000"/>
                <w:szCs w:val="24"/>
              </w:rPr>
              <w:t>本项服务主要为定期对院方网络安全设备告警日志进行分析，日志包含了网络连接的关键信息，通过安全日志分析，发现院内相关业务或人员对内对外访问记录，对触发告警的日志进行深度分析，判断是否合规，整体日志分析服务流程需包括：</w:t>
            </w:r>
            <w:r>
              <w:rPr>
                <w:rFonts w:hint="eastAsia" w:cs="宋体"/>
                <w:color w:val="000000"/>
                <w:szCs w:val="24"/>
              </w:rPr>
              <w:br w:type="textWrapping"/>
            </w:r>
            <w:r>
              <w:rPr>
                <w:rFonts w:hint="eastAsia" w:cs="宋体"/>
                <w:color w:val="000000"/>
                <w:szCs w:val="24"/>
              </w:rPr>
              <w:t>1.日志收集。乙方将定期统一收集各个安全设备的日志和报表进行存档以便分析。</w:t>
            </w:r>
            <w:r>
              <w:rPr>
                <w:rFonts w:hint="eastAsia" w:cs="宋体"/>
                <w:color w:val="000000"/>
                <w:szCs w:val="24"/>
              </w:rPr>
              <w:br w:type="textWrapping"/>
            </w:r>
            <w:r>
              <w:rPr>
                <w:rFonts w:hint="eastAsia" w:cs="宋体"/>
                <w:color w:val="000000"/>
                <w:szCs w:val="24"/>
              </w:rPr>
              <w:t>2.分析日志。跟据甲方设备的具体情况，分析关键服务器、安全设备等设备的日志, 采取人工加工具的审计分析方法对日志信息进行综合分析, 分析设备日志哪些IP地址试图访问内部网络、哪些端口被访问、哪些连接被允许或者被阻止等。如存在潜在的网络攻击行为，需进一步分析其网络流量的路由信息，包括数据包的转发路径、源和目的IP地址等，分析网络拓扑结构中的异常流量走向，判断是否被劫持或者是否存在异常的路由跳转等情况。</w:t>
            </w:r>
            <w:r>
              <w:rPr>
                <w:rFonts w:hint="eastAsia" w:cs="宋体"/>
                <w:color w:val="000000"/>
                <w:szCs w:val="24"/>
              </w:rPr>
              <w:br w:type="textWrapping"/>
            </w:r>
            <w:r>
              <w:rPr>
                <w:rFonts w:hint="eastAsia" w:cs="宋体"/>
                <w:color w:val="000000"/>
                <w:szCs w:val="24"/>
              </w:rPr>
              <w:t>3.生成报告。根据以上评估，生成具体的日志分析报告，乙方专家人工结合用户网络的构成及业务流程等，为甲方量身定制出专业又极具可读性的报告，并会针对报告中的各项问题，为甲方提供修补建议，使发现的问题能尽可能早的得到解决，避免引起更大范围的影响和损失。</w:t>
            </w:r>
            <w:r>
              <w:rPr>
                <w:rFonts w:hint="eastAsia" w:cs="宋体"/>
                <w:color w:val="000000"/>
                <w:szCs w:val="24"/>
              </w:rPr>
              <w:br w:type="textWrapping"/>
            </w:r>
            <w:r>
              <w:rPr>
                <w:rFonts w:hint="eastAsia" w:cs="宋体"/>
                <w:color w:val="000000"/>
                <w:szCs w:val="24"/>
              </w:rPr>
              <w:t>4.其它支持。甲方得到乙方提交的日志审计报告后，可以根据报告的内容对系统进行检查和修补，在此过程中的所有疑问都可以通过客服热线与安全专家取得联系，获得在线咨询和指导。</w:t>
            </w:r>
          </w:p>
        </w:tc>
      </w:tr>
      <w:tr>
        <w:tblPrEx>
          <w:tblLayout w:type="fixed"/>
          <w:tblCellMar>
            <w:top w:w="0" w:type="dxa"/>
            <w:left w:w="108" w:type="dxa"/>
            <w:bottom w:w="0" w:type="dxa"/>
            <w:right w:w="108" w:type="dxa"/>
          </w:tblCellMar>
        </w:tblPrEx>
        <w:trPr>
          <w:trHeight w:val="864" w:hRule="atLeast"/>
        </w:trPr>
        <w:tc>
          <w:tcPr>
            <w:tcW w:w="837" w:type="dxa"/>
            <w:tcBorders>
              <w:top w:val="nil"/>
              <w:left w:val="single" w:color="auto" w:sz="4" w:space="0"/>
              <w:bottom w:val="single" w:color="auto" w:sz="4" w:space="0"/>
              <w:right w:val="single" w:color="auto" w:sz="4" w:space="0"/>
            </w:tcBorders>
            <w:noWrap/>
            <w:vAlign w:val="center"/>
          </w:tcPr>
          <w:p>
            <w:pPr>
              <w:spacing w:line="240" w:lineRule="auto"/>
              <w:jc w:val="center"/>
              <w:rPr>
                <w:rFonts w:hint="eastAsia" w:cs="宋体"/>
                <w:color w:val="000000"/>
                <w:szCs w:val="24"/>
              </w:rPr>
            </w:pPr>
            <w:r>
              <w:rPr>
                <w:rFonts w:hint="eastAsia" w:cs="宋体"/>
                <w:color w:val="000000"/>
                <w:szCs w:val="24"/>
              </w:rPr>
              <w:t>3</w:t>
            </w:r>
          </w:p>
        </w:tc>
        <w:tc>
          <w:tcPr>
            <w:tcW w:w="1778" w:type="dxa"/>
            <w:tcBorders>
              <w:top w:val="nil"/>
              <w:left w:val="nil"/>
              <w:bottom w:val="single" w:color="auto" w:sz="4" w:space="0"/>
              <w:right w:val="single" w:color="auto" w:sz="4" w:space="0"/>
            </w:tcBorders>
            <w:noWrap/>
            <w:vAlign w:val="center"/>
          </w:tcPr>
          <w:p>
            <w:pPr>
              <w:spacing w:line="240" w:lineRule="auto"/>
              <w:jc w:val="center"/>
              <w:rPr>
                <w:rFonts w:hint="eastAsia" w:cs="宋体"/>
                <w:color w:val="000000"/>
                <w:szCs w:val="24"/>
              </w:rPr>
            </w:pPr>
            <w:r>
              <w:rPr>
                <w:rFonts w:hint="eastAsia" w:cs="宋体"/>
                <w:color w:val="000000"/>
                <w:szCs w:val="24"/>
              </w:rPr>
              <w:t>服务交付</w:t>
            </w:r>
          </w:p>
        </w:tc>
        <w:tc>
          <w:tcPr>
            <w:tcW w:w="5908" w:type="dxa"/>
            <w:tcBorders>
              <w:top w:val="nil"/>
              <w:left w:val="nil"/>
              <w:bottom w:val="single" w:color="auto" w:sz="4" w:space="0"/>
              <w:right w:val="single" w:color="auto" w:sz="4" w:space="0"/>
            </w:tcBorders>
            <w:vAlign w:val="center"/>
          </w:tcPr>
          <w:p>
            <w:pPr>
              <w:spacing w:line="240" w:lineRule="auto"/>
              <w:rPr>
                <w:rFonts w:hint="eastAsia" w:cs="宋体"/>
                <w:color w:val="000000"/>
                <w:szCs w:val="24"/>
              </w:rPr>
            </w:pPr>
            <w:r>
              <w:rPr>
                <w:rFonts w:hint="eastAsia" w:cs="宋体"/>
                <w:color w:val="000000"/>
                <w:szCs w:val="24"/>
              </w:rPr>
              <w:t>服务完成后服务人员需在院方规定时间内输出《日志分析报告》，报告内容需包括每次服务分析设备范围、分析日志总量情况、日志时间跨度、可疑日志情况、结果确认，解决措施等内容。</w:t>
            </w:r>
          </w:p>
        </w:tc>
      </w:tr>
    </w:tbl>
    <w:p>
      <w:pPr>
        <w:rPr>
          <w:rFonts w:hint="eastAsia"/>
          <w:szCs w:val="24"/>
        </w:rPr>
      </w:pPr>
    </w:p>
    <w:p>
      <w:pPr>
        <w:rPr>
          <w:rFonts w:hint="eastAsia"/>
          <w:szCs w:val="21"/>
        </w:rPr>
      </w:pPr>
    </w:p>
    <w:p>
      <w:pPr>
        <w:pStyle w:val="5"/>
        <w:rPr>
          <w:color w:val="000000" w:themeColor="text1"/>
          <w14:textFill>
            <w14:solidFill>
              <w14:schemeClr w14:val="tx1"/>
            </w14:solidFill>
          </w14:textFill>
        </w:rPr>
      </w:pPr>
      <w:r>
        <w:rPr>
          <w:rFonts w:hint="eastAsia"/>
          <w:color w:val="000000" w:themeColor="text1"/>
          <w14:textFill>
            <w14:solidFill>
              <w14:schemeClr w14:val="tx1"/>
            </w14:solidFill>
          </w14:textFill>
        </w:rPr>
        <w:t>安全建设配合响应</w:t>
      </w:r>
    </w:p>
    <w:tbl>
      <w:tblPr>
        <w:tblStyle w:val="33"/>
        <w:tblW w:w="8523" w:type="dxa"/>
        <w:tblInd w:w="0" w:type="dxa"/>
        <w:tblLayout w:type="fixed"/>
        <w:tblCellMar>
          <w:top w:w="0" w:type="dxa"/>
          <w:left w:w="108" w:type="dxa"/>
          <w:bottom w:w="0" w:type="dxa"/>
          <w:right w:w="108" w:type="dxa"/>
        </w:tblCellMar>
      </w:tblPr>
      <w:tblGrid>
        <w:gridCol w:w="698"/>
        <w:gridCol w:w="1369"/>
        <w:gridCol w:w="6456"/>
      </w:tblGrid>
      <w:tr>
        <w:tblPrEx>
          <w:tblLayout w:type="fixed"/>
          <w:tblCellMar>
            <w:top w:w="0" w:type="dxa"/>
            <w:left w:w="108" w:type="dxa"/>
            <w:bottom w:w="0" w:type="dxa"/>
            <w:right w:w="108" w:type="dxa"/>
          </w:tblCellMar>
        </w:tblPrEx>
        <w:trPr>
          <w:trHeight w:val="288" w:hRule="atLeast"/>
        </w:trPr>
        <w:tc>
          <w:tcPr>
            <w:tcW w:w="698" w:type="dxa"/>
            <w:tcBorders>
              <w:top w:val="single" w:color="auto" w:sz="4" w:space="0"/>
              <w:left w:val="single" w:color="auto" w:sz="4" w:space="0"/>
              <w:bottom w:val="single" w:color="auto" w:sz="4" w:space="0"/>
              <w:right w:val="single" w:color="auto" w:sz="4" w:space="0"/>
            </w:tcBorders>
            <w:noWrap/>
            <w:vAlign w:val="center"/>
          </w:tcPr>
          <w:p>
            <w:pPr>
              <w:spacing w:line="240" w:lineRule="auto"/>
              <w:jc w:val="center"/>
              <w:rPr>
                <w:rFonts w:hint="eastAsia" w:cs="宋体"/>
                <w:b/>
                <w:bCs/>
                <w:color w:val="000000"/>
                <w:szCs w:val="24"/>
              </w:rPr>
            </w:pPr>
            <w:r>
              <w:rPr>
                <w:rFonts w:hint="eastAsia" w:cs="宋体"/>
                <w:b/>
                <w:bCs/>
                <w:color w:val="000000"/>
                <w:szCs w:val="24"/>
              </w:rPr>
              <w:t>序号</w:t>
            </w:r>
          </w:p>
        </w:tc>
        <w:tc>
          <w:tcPr>
            <w:tcW w:w="1369" w:type="dxa"/>
            <w:tcBorders>
              <w:top w:val="single" w:color="auto" w:sz="4" w:space="0"/>
              <w:left w:val="nil"/>
              <w:bottom w:val="single" w:color="auto" w:sz="4" w:space="0"/>
              <w:right w:val="single" w:color="auto" w:sz="4" w:space="0"/>
            </w:tcBorders>
            <w:noWrap/>
            <w:vAlign w:val="center"/>
          </w:tcPr>
          <w:p>
            <w:pPr>
              <w:spacing w:line="240" w:lineRule="auto"/>
              <w:jc w:val="center"/>
              <w:rPr>
                <w:rFonts w:hint="eastAsia" w:cs="宋体"/>
                <w:b/>
                <w:bCs/>
                <w:color w:val="000000"/>
                <w:szCs w:val="24"/>
              </w:rPr>
            </w:pPr>
            <w:r>
              <w:rPr>
                <w:rFonts w:hint="eastAsia" w:cs="宋体"/>
                <w:b/>
                <w:bCs/>
                <w:color w:val="000000"/>
                <w:szCs w:val="24"/>
              </w:rPr>
              <w:t>指标项</w:t>
            </w:r>
          </w:p>
        </w:tc>
        <w:tc>
          <w:tcPr>
            <w:tcW w:w="6456" w:type="dxa"/>
            <w:tcBorders>
              <w:top w:val="single" w:color="auto" w:sz="4" w:space="0"/>
              <w:left w:val="nil"/>
              <w:bottom w:val="single" w:color="auto" w:sz="4" w:space="0"/>
              <w:right w:val="single" w:color="auto" w:sz="4" w:space="0"/>
            </w:tcBorders>
            <w:vAlign w:val="center"/>
          </w:tcPr>
          <w:p>
            <w:pPr>
              <w:spacing w:line="240" w:lineRule="auto"/>
              <w:jc w:val="center"/>
              <w:rPr>
                <w:rFonts w:hint="eastAsia" w:cs="宋体"/>
                <w:b/>
                <w:bCs/>
                <w:color w:val="000000"/>
                <w:szCs w:val="24"/>
              </w:rPr>
            </w:pPr>
            <w:r>
              <w:rPr>
                <w:rFonts w:hint="eastAsia" w:cs="宋体"/>
                <w:b/>
                <w:bCs/>
                <w:color w:val="000000"/>
                <w:szCs w:val="24"/>
              </w:rPr>
              <w:t>指标要求</w:t>
            </w:r>
          </w:p>
        </w:tc>
      </w:tr>
      <w:tr>
        <w:tblPrEx>
          <w:tblLayout w:type="fixed"/>
          <w:tblCellMar>
            <w:top w:w="0" w:type="dxa"/>
            <w:left w:w="108" w:type="dxa"/>
            <w:bottom w:w="0" w:type="dxa"/>
            <w:right w:w="108" w:type="dxa"/>
          </w:tblCellMar>
        </w:tblPrEx>
        <w:trPr>
          <w:trHeight w:val="288" w:hRule="atLeast"/>
        </w:trPr>
        <w:tc>
          <w:tcPr>
            <w:tcW w:w="698" w:type="dxa"/>
            <w:tcBorders>
              <w:top w:val="nil"/>
              <w:left w:val="single" w:color="auto" w:sz="4" w:space="0"/>
              <w:bottom w:val="single" w:color="auto" w:sz="4" w:space="0"/>
              <w:right w:val="single" w:color="auto" w:sz="4" w:space="0"/>
            </w:tcBorders>
            <w:noWrap/>
            <w:vAlign w:val="center"/>
          </w:tcPr>
          <w:p>
            <w:pPr>
              <w:spacing w:line="240" w:lineRule="auto"/>
              <w:jc w:val="center"/>
              <w:rPr>
                <w:rFonts w:hint="eastAsia" w:cs="宋体"/>
                <w:color w:val="000000"/>
                <w:szCs w:val="24"/>
              </w:rPr>
            </w:pPr>
            <w:r>
              <w:rPr>
                <w:rFonts w:hint="eastAsia" w:cs="宋体"/>
                <w:color w:val="000000"/>
                <w:szCs w:val="24"/>
              </w:rPr>
              <w:t>1</w:t>
            </w:r>
          </w:p>
        </w:tc>
        <w:tc>
          <w:tcPr>
            <w:tcW w:w="1369" w:type="dxa"/>
            <w:tcBorders>
              <w:top w:val="nil"/>
              <w:left w:val="nil"/>
              <w:bottom w:val="single" w:color="auto" w:sz="4" w:space="0"/>
              <w:right w:val="single" w:color="auto" w:sz="4" w:space="0"/>
            </w:tcBorders>
            <w:noWrap/>
            <w:vAlign w:val="center"/>
          </w:tcPr>
          <w:p>
            <w:pPr>
              <w:spacing w:line="240" w:lineRule="auto"/>
              <w:jc w:val="center"/>
              <w:rPr>
                <w:rFonts w:hint="eastAsia" w:cs="宋体"/>
                <w:color w:val="000000"/>
                <w:szCs w:val="24"/>
              </w:rPr>
            </w:pPr>
            <w:r>
              <w:rPr>
                <w:rFonts w:hint="eastAsia" w:cs="宋体"/>
                <w:color w:val="000000"/>
                <w:szCs w:val="24"/>
              </w:rPr>
              <w:t>频次</w:t>
            </w:r>
          </w:p>
        </w:tc>
        <w:tc>
          <w:tcPr>
            <w:tcW w:w="6456" w:type="dxa"/>
            <w:tcBorders>
              <w:top w:val="nil"/>
              <w:left w:val="nil"/>
              <w:bottom w:val="single" w:color="auto" w:sz="4" w:space="0"/>
              <w:right w:val="single" w:color="auto" w:sz="4" w:space="0"/>
            </w:tcBorders>
            <w:noWrap/>
            <w:vAlign w:val="center"/>
          </w:tcPr>
          <w:p>
            <w:pPr>
              <w:spacing w:line="240" w:lineRule="auto"/>
              <w:rPr>
                <w:rFonts w:hint="eastAsia" w:cs="宋体"/>
                <w:color w:val="000000"/>
                <w:szCs w:val="24"/>
              </w:rPr>
            </w:pPr>
            <w:r>
              <w:rPr>
                <w:rFonts w:hint="eastAsia" w:cs="宋体"/>
                <w:color w:val="000000"/>
                <w:szCs w:val="24"/>
              </w:rPr>
              <w:t>一年内不限次数</w:t>
            </w:r>
          </w:p>
        </w:tc>
      </w:tr>
      <w:tr>
        <w:tblPrEx>
          <w:tblLayout w:type="fixed"/>
          <w:tblCellMar>
            <w:top w:w="0" w:type="dxa"/>
            <w:left w:w="108" w:type="dxa"/>
            <w:bottom w:w="0" w:type="dxa"/>
            <w:right w:w="108" w:type="dxa"/>
          </w:tblCellMar>
        </w:tblPrEx>
        <w:trPr>
          <w:trHeight w:val="4032" w:hRule="atLeast"/>
        </w:trPr>
        <w:tc>
          <w:tcPr>
            <w:tcW w:w="698" w:type="dxa"/>
            <w:tcBorders>
              <w:top w:val="nil"/>
              <w:left w:val="single" w:color="auto" w:sz="4" w:space="0"/>
              <w:bottom w:val="single" w:color="auto" w:sz="4" w:space="0"/>
              <w:right w:val="single" w:color="auto" w:sz="4" w:space="0"/>
            </w:tcBorders>
            <w:noWrap/>
            <w:vAlign w:val="center"/>
          </w:tcPr>
          <w:p>
            <w:pPr>
              <w:spacing w:line="240" w:lineRule="auto"/>
              <w:jc w:val="center"/>
              <w:rPr>
                <w:rFonts w:hint="eastAsia" w:cs="宋体"/>
                <w:color w:val="000000"/>
                <w:szCs w:val="24"/>
              </w:rPr>
            </w:pPr>
            <w:r>
              <w:rPr>
                <w:rFonts w:hint="eastAsia" w:cs="宋体"/>
                <w:color w:val="000000"/>
                <w:szCs w:val="24"/>
              </w:rPr>
              <w:t>2</w:t>
            </w:r>
          </w:p>
        </w:tc>
        <w:tc>
          <w:tcPr>
            <w:tcW w:w="1369" w:type="dxa"/>
            <w:tcBorders>
              <w:top w:val="nil"/>
              <w:left w:val="nil"/>
              <w:bottom w:val="single" w:color="auto" w:sz="4" w:space="0"/>
              <w:right w:val="single" w:color="auto" w:sz="4" w:space="0"/>
            </w:tcBorders>
            <w:noWrap/>
            <w:vAlign w:val="center"/>
          </w:tcPr>
          <w:p>
            <w:pPr>
              <w:spacing w:line="240" w:lineRule="auto"/>
              <w:jc w:val="center"/>
              <w:rPr>
                <w:rFonts w:hint="eastAsia" w:cs="宋体"/>
                <w:color w:val="000000"/>
                <w:szCs w:val="24"/>
              </w:rPr>
            </w:pPr>
            <w:r>
              <w:rPr>
                <w:rFonts w:hint="eastAsia" w:cs="宋体"/>
                <w:color w:val="000000"/>
                <w:szCs w:val="24"/>
              </w:rPr>
              <w:t>服务要求</w:t>
            </w:r>
          </w:p>
        </w:tc>
        <w:tc>
          <w:tcPr>
            <w:tcW w:w="6456" w:type="dxa"/>
            <w:tcBorders>
              <w:top w:val="nil"/>
              <w:left w:val="nil"/>
              <w:bottom w:val="single" w:color="auto" w:sz="4" w:space="0"/>
              <w:right w:val="single" w:color="auto" w:sz="4" w:space="0"/>
            </w:tcBorders>
            <w:vAlign w:val="center"/>
          </w:tcPr>
          <w:p>
            <w:pPr>
              <w:spacing w:line="240" w:lineRule="auto"/>
              <w:rPr>
                <w:rFonts w:hint="eastAsia" w:cs="宋体"/>
                <w:color w:val="000000"/>
                <w:szCs w:val="24"/>
              </w:rPr>
            </w:pPr>
            <w:r>
              <w:rPr>
                <w:rFonts w:hint="eastAsia" w:cs="宋体"/>
                <w:color w:val="000000"/>
                <w:szCs w:val="24"/>
              </w:rPr>
              <w:t>在医院相关或上级部门提出安全建设、安全整改、安全加固等任务时，派遣专业安全技术人员指导配合进行安全相关工作，需配合建设响应的情况包括但不限于：医院网站漏洞排查、公安部门递送的安全检查或安全漏洞通知、上级部门递送的安全检查或安全漏洞通知、国家重大事件的安全保障检查、突发性事件的检查通知或现场检查、医院业务改动等场景。</w:t>
            </w:r>
            <w:r>
              <w:rPr>
                <w:rFonts w:hint="eastAsia" w:cs="宋体"/>
                <w:color w:val="000000"/>
                <w:szCs w:val="24"/>
              </w:rPr>
              <w:br w:type="textWrapping"/>
            </w:r>
            <w:r>
              <w:rPr>
                <w:rFonts w:hint="eastAsia" w:cs="宋体"/>
                <w:color w:val="000000"/>
                <w:szCs w:val="24"/>
              </w:rPr>
              <w:t>整体服务要求如下：</w:t>
            </w:r>
            <w:r>
              <w:rPr>
                <w:rFonts w:hint="eastAsia" w:cs="宋体"/>
                <w:color w:val="000000"/>
                <w:szCs w:val="24"/>
              </w:rPr>
              <w:br w:type="textWrapping"/>
            </w:r>
            <w:r>
              <w:rPr>
                <w:rFonts w:hint="eastAsia" w:cs="宋体"/>
                <w:color w:val="000000"/>
                <w:szCs w:val="24"/>
              </w:rPr>
              <w:t>1、 对于上级单位下发的政策通知或整改要求向院方进行专业性解读，解释相关政策或整改要求条款、合规性标准、建设指引、依据等内容。</w:t>
            </w:r>
            <w:r>
              <w:rPr>
                <w:rFonts w:hint="eastAsia" w:cs="宋体"/>
                <w:color w:val="000000"/>
                <w:szCs w:val="24"/>
              </w:rPr>
              <w:br w:type="textWrapping"/>
            </w:r>
            <w:r>
              <w:rPr>
                <w:rFonts w:hint="eastAsia" w:cs="宋体"/>
                <w:color w:val="000000"/>
                <w:szCs w:val="24"/>
              </w:rPr>
              <w:t>2、 根据场景要求对院方信息化现状进行调研，按照政策要求或整改要求或实际业务改动需求角度分析用户现状合规差距。</w:t>
            </w:r>
            <w:r>
              <w:rPr>
                <w:rFonts w:hint="eastAsia" w:cs="宋体"/>
                <w:color w:val="000000"/>
                <w:szCs w:val="24"/>
              </w:rPr>
              <w:br w:type="textWrapping"/>
            </w:r>
            <w:r>
              <w:rPr>
                <w:rFonts w:hint="eastAsia" w:cs="宋体"/>
                <w:color w:val="000000"/>
                <w:szCs w:val="24"/>
              </w:rPr>
              <w:t>3、 根据实际分析出来的差距，从合规性、经济学、安全性等方面进行考虑，设计并输出相关建设解决方案。并在方案落实过程中给与实施指导。</w:t>
            </w:r>
          </w:p>
        </w:tc>
      </w:tr>
      <w:tr>
        <w:tblPrEx>
          <w:tblLayout w:type="fixed"/>
          <w:tblCellMar>
            <w:top w:w="0" w:type="dxa"/>
            <w:left w:w="108" w:type="dxa"/>
            <w:bottom w:w="0" w:type="dxa"/>
            <w:right w:w="108" w:type="dxa"/>
          </w:tblCellMar>
        </w:tblPrEx>
        <w:trPr>
          <w:trHeight w:val="288" w:hRule="atLeast"/>
        </w:trPr>
        <w:tc>
          <w:tcPr>
            <w:tcW w:w="698" w:type="dxa"/>
            <w:tcBorders>
              <w:top w:val="nil"/>
              <w:left w:val="single" w:color="auto" w:sz="4" w:space="0"/>
              <w:bottom w:val="single" w:color="auto" w:sz="4" w:space="0"/>
              <w:right w:val="single" w:color="auto" w:sz="4" w:space="0"/>
            </w:tcBorders>
            <w:noWrap/>
            <w:vAlign w:val="center"/>
          </w:tcPr>
          <w:p>
            <w:pPr>
              <w:spacing w:line="240" w:lineRule="auto"/>
              <w:jc w:val="center"/>
              <w:rPr>
                <w:rFonts w:hint="eastAsia" w:cs="宋体"/>
                <w:color w:val="000000"/>
                <w:szCs w:val="24"/>
              </w:rPr>
            </w:pPr>
            <w:r>
              <w:rPr>
                <w:rFonts w:hint="eastAsia" w:cs="宋体"/>
                <w:color w:val="000000"/>
                <w:szCs w:val="24"/>
              </w:rPr>
              <w:t>3</w:t>
            </w:r>
          </w:p>
        </w:tc>
        <w:tc>
          <w:tcPr>
            <w:tcW w:w="1369" w:type="dxa"/>
            <w:tcBorders>
              <w:top w:val="nil"/>
              <w:left w:val="nil"/>
              <w:bottom w:val="single" w:color="auto" w:sz="4" w:space="0"/>
              <w:right w:val="single" w:color="auto" w:sz="4" w:space="0"/>
            </w:tcBorders>
            <w:noWrap/>
            <w:vAlign w:val="center"/>
          </w:tcPr>
          <w:p>
            <w:pPr>
              <w:spacing w:line="240" w:lineRule="auto"/>
              <w:jc w:val="center"/>
              <w:rPr>
                <w:rFonts w:hint="eastAsia" w:cs="宋体"/>
                <w:color w:val="000000"/>
                <w:szCs w:val="24"/>
              </w:rPr>
            </w:pPr>
            <w:r>
              <w:rPr>
                <w:rFonts w:hint="eastAsia" w:cs="宋体"/>
                <w:color w:val="000000"/>
                <w:szCs w:val="24"/>
              </w:rPr>
              <w:t>服务交付</w:t>
            </w:r>
          </w:p>
        </w:tc>
        <w:tc>
          <w:tcPr>
            <w:tcW w:w="6456" w:type="dxa"/>
            <w:tcBorders>
              <w:top w:val="nil"/>
              <w:left w:val="nil"/>
              <w:bottom w:val="single" w:color="auto" w:sz="4" w:space="0"/>
              <w:right w:val="single" w:color="auto" w:sz="4" w:space="0"/>
            </w:tcBorders>
            <w:noWrap/>
            <w:vAlign w:val="center"/>
          </w:tcPr>
          <w:p>
            <w:pPr>
              <w:spacing w:line="240" w:lineRule="auto"/>
              <w:rPr>
                <w:rFonts w:hint="eastAsia" w:cs="宋体"/>
                <w:color w:val="000000"/>
                <w:szCs w:val="24"/>
              </w:rPr>
            </w:pPr>
            <w:r>
              <w:rPr>
                <w:rFonts w:hint="eastAsia" w:cs="宋体"/>
                <w:color w:val="000000"/>
                <w:szCs w:val="24"/>
              </w:rPr>
              <w:t>根据每次建设响应服务要求，输出对应建设响应解决方案。</w:t>
            </w:r>
          </w:p>
        </w:tc>
      </w:tr>
    </w:tbl>
    <w:p>
      <w:pPr>
        <w:rPr>
          <w:rFonts w:hint="eastAsia"/>
          <w:szCs w:val="21"/>
        </w:rPr>
      </w:pPr>
    </w:p>
    <w:p>
      <w:pPr>
        <w:pStyle w:val="5"/>
        <w:rPr>
          <w:color w:val="000000" w:themeColor="text1"/>
          <w14:textFill>
            <w14:solidFill>
              <w14:schemeClr w14:val="tx1"/>
            </w14:solidFill>
          </w14:textFill>
        </w:rPr>
      </w:pPr>
      <w:r>
        <w:rPr>
          <w:rFonts w:hint="eastAsia"/>
          <w:color w:val="000000" w:themeColor="text1"/>
          <w14:textFill>
            <w14:solidFill>
              <w14:schemeClr w14:val="tx1"/>
            </w14:solidFill>
          </w14:textFill>
        </w:rPr>
        <w:t>安全设备配置适应性调整</w:t>
      </w:r>
    </w:p>
    <w:tbl>
      <w:tblPr>
        <w:tblStyle w:val="33"/>
        <w:tblW w:w="8523" w:type="dxa"/>
        <w:tblInd w:w="0" w:type="dxa"/>
        <w:tblLayout w:type="fixed"/>
        <w:tblCellMar>
          <w:top w:w="0" w:type="dxa"/>
          <w:left w:w="108" w:type="dxa"/>
          <w:bottom w:w="0" w:type="dxa"/>
          <w:right w:w="108" w:type="dxa"/>
        </w:tblCellMar>
      </w:tblPr>
      <w:tblGrid>
        <w:gridCol w:w="837"/>
        <w:gridCol w:w="1778"/>
        <w:gridCol w:w="5908"/>
      </w:tblGrid>
      <w:tr>
        <w:tblPrEx>
          <w:tblLayout w:type="fixed"/>
          <w:tblCellMar>
            <w:top w:w="0" w:type="dxa"/>
            <w:left w:w="108" w:type="dxa"/>
            <w:bottom w:w="0" w:type="dxa"/>
            <w:right w:w="108" w:type="dxa"/>
          </w:tblCellMar>
        </w:tblPrEx>
        <w:trPr>
          <w:trHeight w:val="288" w:hRule="atLeast"/>
        </w:trPr>
        <w:tc>
          <w:tcPr>
            <w:tcW w:w="837" w:type="dxa"/>
            <w:tcBorders>
              <w:top w:val="single" w:color="auto" w:sz="4" w:space="0"/>
              <w:left w:val="single" w:color="auto" w:sz="4" w:space="0"/>
              <w:bottom w:val="single" w:color="auto" w:sz="4" w:space="0"/>
              <w:right w:val="single" w:color="auto" w:sz="4" w:space="0"/>
            </w:tcBorders>
            <w:noWrap/>
            <w:vAlign w:val="center"/>
          </w:tcPr>
          <w:p>
            <w:pPr>
              <w:spacing w:line="240" w:lineRule="auto"/>
              <w:jc w:val="center"/>
              <w:rPr>
                <w:rFonts w:hint="eastAsia" w:cs="宋体"/>
                <w:b/>
                <w:bCs/>
                <w:color w:val="000000"/>
                <w:szCs w:val="24"/>
              </w:rPr>
            </w:pPr>
            <w:r>
              <w:rPr>
                <w:rFonts w:hint="eastAsia" w:cs="宋体"/>
                <w:b/>
                <w:bCs/>
                <w:color w:val="000000"/>
                <w:szCs w:val="24"/>
              </w:rPr>
              <w:t>序号</w:t>
            </w:r>
          </w:p>
        </w:tc>
        <w:tc>
          <w:tcPr>
            <w:tcW w:w="1778" w:type="dxa"/>
            <w:tcBorders>
              <w:top w:val="single" w:color="auto" w:sz="4" w:space="0"/>
              <w:left w:val="nil"/>
              <w:bottom w:val="single" w:color="auto" w:sz="4" w:space="0"/>
              <w:right w:val="single" w:color="auto" w:sz="4" w:space="0"/>
            </w:tcBorders>
            <w:noWrap/>
            <w:vAlign w:val="center"/>
          </w:tcPr>
          <w:p>
            <w:pPr>
              <w:spacing w:line="240" w:lineRule="auto"/>
              <w:jc w:val="center"/>
              <w:rPr>
                <w:rFonts w:hint="eastAsia" w:cs="宋体"/>
                <w:b/>
                <w:bCs/>
                <w:color w:val="000000"/>
                <w:szCs w:val="24"/>
              </w:rPr>
            </w:pPr>
            <w:r>
              <w:rPr>
                <w:rFonts w:hint="eastAsia" w:cs="宋体"/>
                <w:b/>
                <w:bCs/>
                <w:color w:val="000000"/>
                <w:szCs w:val="24"/>
              </w:rPr>
              <w:t>指标项</w:t>
            </w:r>
          </w:p>
        </w:tc>
        <w:tc>
          <w:tcPr>
            <w:tcW w:w="5908" w:type="dxa"/>
            <w:tcBorders>
              <w:top w:val="single" w:color="auto" w:sz="4" w:space="0"/>
              <w:left w:val="nil"/>
              <w:bottom w:val="single" w:color="auto" w:sz="4" w:space="0"/>
              <w:right w:val="single" w:color="auto" w:sz="4" w:space="0"/>
            </w:tcBorders>
            <w:vAlign w:val="center"/>
          </w:tcPr>
          <w:p>
            <w:pPr>
              <w:spacing w:line="240" w:lineRule="auto"/>
              <w:jc w:val="center"/>
              <w:rPr>
                <w:rFonts w:hint="eastAsia" w:cs="宋体"/>
                <w:b/>
                <w:bCs/>
                <w:color w:val="000000"/>
                <w:szCs w:val="24"/>
              </w:rPr>
            </w:pPr>
            <w:r>
              <w:rPr>
                <w:rFonts w:hint="eastAsia" w:cs="宋体"/>
                <w:b/>
                <w:bCs/>
                <w:color w:val="000000"/>
                <w:szCs w:val="24"/>
              </w:rPr>
              <w:t>指标要求</w:t>
            </w:r>
          </w:p>
        </w:tc>
      </w:tr>
      <w:tr>
        <w:tblPrEx>
          <w:tblLayout w:type="fixed"/>
          <w:tblCellMar>
            <w:top w:w="0" w:type="dxa"/>
            <w:left w:w="108" w:type="dxa"/>
            <w:bottom w:w="0" w:type="dxa"/>
            <w:right w:w="108" w:type="dxa"/>
          </w:tblCellMar>
        </w:tblPrEx>
        <w:trPr>
          <w:trHeight w:val="288" w:hRule="atLeast"/>
        </w:trPr>
        <w:tc>
          <w:tcPr>
            <w:tcW w:w="837" w:type="dxa"/>
            <w:tcBorders>
              <w:top w:val="nil"/>
              <w:left w:val="single" w:color="auto" w:sz="4" w:space="0"/>
              <w:bottom w:val="single" w:color="auto" w:sz="4" w:space="0"/>
              <w:right w:val="single" w:color="auto" w:sz="4" w:space="0"/>
            </w:tcBorders>
            <w:noWrap/>
            <w:vAlign w:val="center"/>
          </w:tcPr>
          <w:p>
            <w:pPr>
              <w:spacing w:line="240" w:lineRule="auto"/>
              <w:jc w:val="center"/>
              <w:rPr>
                <w:rFonts w:hint="eastAsia" w:cs="宋体"/>
                <w:color w:val="000000"/>
                <w:szCs w:val="24"/>
              </w:rPr>
            </w:pPr>
            <w:r>
              <w:rPr>
                <w:rFonts w:hint="eastAsia" w:cs="宋体"/>
                <w:color w:val="000000"/>
                <w:szCs w:val="24"/>
              </w:rPr>
              <w:t>1</w:t>
            </w:r>
          </w:p>
        </w:tc>
        <w:tc>
          <w:tcPr>
            <w:tcW w:w="1778" w:type="dxa"/>
            <w:tcBorders>
              <w:top w:val="nil"/>
              <w:left w:val="nil"/>
              <w:bottom w:val="single" w:color="auto" w:sz="4" w:space="0"/>
              <w:right w:val="single" w:color="auto" w:sz="4" w:space="0"/>
            </w:tcBorders>
            <w:noWrap/>
            <w:vAlign w:val="center"/>
          </w:tcPr>
          <w:p>
            <w:pPr>
              <w:spacing w:line="240" w:lineRule="auto"/>
              <w:jc w:val="center"/>
              <w:rPr>
                <w:rFonts w:hint="eastAsia" w:cs="宋体"/>
                <w:color w:val="000000"/>
                <w:szCs w:val="24"/>
              </w:rPr>
            </w:pPr>
            <w:r>
              <w:rPr>
                <w:rFonts w:hint="eastAsia" w:cs="宋体"/>
                <w:color w:val="000000"/>
                <w:szCs w:val="24"/>
              </w:rPr>
              <w:t>频次</w:t>
            </w:r>
          </w:p>
        </w:tc>
        <w:tc>
          <w:tcPr>
            <w:tcW w:w="5908" w:type="dxa"/>
            <w:tcBorders>
              <w:top w:val="nil"/>
              <w:left w:val="nil"/>
              <w:bottom w:val="single" w:color="auto" w:sz="4" w:space="0"/>
              <w:right w:val="single" w:color="auto" w:sz="4" w:space="0"/>
            </w:tcBorders>
            <w:vAlign w:val="center"/>
          </w:tcPr>
          <w:p>
            <w:pPr>
              <w:spacing w:line="240" w:lineRule="auto"/>
              <w:rPr>
                <w:rFonts w:hint="eastAsia" w:cs="宋体"/>
                <w:color w:val="000000"/>
                <w:szCs w:val="24"/>
              </w:rPr>
            </w:pPr>
            <w:r>
              <w:rPr>
                <w:rFonts w:hint="eastAsia" w:cs="宋体"/>
                <w:color w:val="000000"/>
                <w:szCs w:val="24"/>
              </w:rPr>
              <w:t>按需，一年内不限次数</w:t>
            </w:r>
          </w:p>
        </w:tc>
      </w:tr>
      <w:tr>
        <w:tblPrEx>
          <w:tblLayout w:type="fixed"/>
          <w:tblCellMar>
            <w:top w:w="0" w:type="dxa"/>
            <w:left w:w="108" w:type="dxa"/>
            <w:bottom w:w="0" w:type="dxa"/>
            <w:right w:w="108" w:type="dxa"/>
          </w:tblCellMar>
        </w:tblPrEx>
        <w:trPr>
          <w:trHeight w:val="4896" w:hRule="atLeast"/>
        </w:trPr>
        <w:tc>
          <w:tcPr>
            <w:tcW w:w="837" w:type="dxa"/>
            <w:tcBorders>
              <w:top w:val="nil"/>
              <w:left w:val="single" w:color="auto" w:sz="4" w:space="0"/>
              <w:bottom w:val="single" w:color="auto" w:sz="4" w:space="0"/>
              <w:right w:val="single" w:color="auto" w:sz="4" w:space="0"/>
            </w:tcBorders>
            <w:noWrap/>
            <w:vAlign w:val="center"/>
          </w:tcPr>
          <w:p>
            <w:pPr>
              <w:spacing w:line="240" w:lineRule="auto"/>
              <w:jc w:val="center"/>
              <w:rPr>
                <w:rFonts w:hint="eastAsia" w:cs="宋体"/>
                <w:color w:val="000000"/>
                <w:szCs w:val="24"/>
              </w:rPr>
            </w:pPr>
            <w:r>
              <w:rPr>
                <w:rFonts w:hint="eastAsia" w:cs="宋体"/>
                <w:color w:val="000000"/>
                <w:szCs w:val="24"/>
              </w:rPr>
              <w:t>2</w:t>
            </w:r>
          </w:p>
        </w:tc>
        <w:tc>
          <w:tcPr>
            <w:tcW w:w="1778" w:type="dxa"/>
            <w:tcBorders>
              <w:top w:val="nil"/>
              <w:left w:val="nil"/>
              <w:bottom w:val="single" w:color="auto" w:sz="4" w:space="0"/>
              <w:right w:val="single" w:color="auto" w:sz="4" w:space="0"/>
            </w:tcBorders>
            <w:noWrap/>
            <w:vAlign w:val="center"/>
          </w:tcPr>
          <w:p>
            <w:pPr>
              <w:spacing w:line="240" w:lineRule="auto"/>
              <w:jc w:val="center"/>
              <w:rPr>
                <w:rFonts w:hint="eastAsia" w:cs="宋体"/>
                <w:color w:val="000000"/>
                <w:szCs w:val="24"/>
              </w:rPr>
            </w:pPr>
            <w:r>
              <w:rPr>
                <w:rFonts w:hint="eastAsia" w:cs="宋体"/>
                <w:color w:val="000000"/>
                <w:szCs w:val="24"/>
              </w:rPr>
              <w:t>服务要求</w:t>
            </w:r>
          </w:p>
        </w:tc>
        <w:tc>
          <w:tcPr>
            <w:tcW w:w="5908" w:type="dxa"/>
            <w:tcBorders>
              <w:top w:val="nil"/>
              <w:left w:val="nil"/>
              <w:bottom w:val="single" w:color="auto" w:sz="4" w:space="0"/>
              <w:right w:val="single" w:color="auto" w:sz="4" w:space="0"/>
            </w:tcBorders>
            <w:vAlign w:val="center"/>
          </w:tcPr>
          <w:p>
            <w:pPr>
              <w:spacing w:line="240" w:lineRule="auto"/>
              <w:rPr>
                <w:rFonts w:hint="eastAsia" w:cs="宋体"/>
                <w:color w:val="000000"/>
                <w:szCs w:val="24"/>
              </w:rPr>
            </w:pPr>
            <w:r>
              <w:rPr>
                <w:rFonts w:hint="eastAsia" w:cs="宋体"/>
                <w:color w:val="000000"/>
                <w:szCs w:val="24"/>
              </w:rPr>
              <w:t>在院方日常业务开展过程中，配合院方对院内重要网络安全设备配置进行适应性调整，派遣工程师进行配置风险评估、提出调整方案并实施。需进行调整的场景包括但不限于：业务功能调整、网络访问控制调整、 业务端口变动、用户权限变动、网络出口变动等场景。具体调整要求如下：</w:t>
            </w:r>
            <w:r>
              <w:rPr>
                <w:rFonts w:hint="eastAsia" w:cs="宋体"/>
                <w:color w:val="000000"/>
                <w:szCs w:val="24"/>
              </w:rPr>
              <w:br w:type="textWrapping"/>
            </w:r>
            <w:r>
              <w:rPr>
                <w:rFonts w:hint="eastAsia" w:cs="宋体"/>
                <w:color w:val="000000"/>
                <w:szCs w:val="24"/>
              </w:rPr>
              <w:t>1.网络出口新增加，评估新网络出口的风险和安全防护措施；</w:t>
            </w:r>
            <w:r>
              <w:rPr>
                <w:rFonts w:hint="eastAsia" w:cs="宋体"/>
                <w:color w:val="000000"/>
                <w:szCs w:val="24"/>
              </w:rPr>
              <w:br w:type="textWrapping"/>
            </w:r>
            <w:r>
              <w:rPr>
                <w:rFonts w:hint="eastAsia" w:cs="宋体"/>
                <w:color w:val="000000"/>
                <w:szCs w:val="24"/>
              </w:rPr>
              <w:t>2.防火墙、行为管理边界类设备的配置变更，详细记录变更内容，包括IP策略、端口策略、放通/禁止策略等；</w:t>
            </w:r>
            <w:r>
              <w:rPr>
                <w:rFonts w:hint="eastAsia" w:cs="宋体"/>
                <w:color w:val="000000"/>
                <w:szCs w:val="24"/>
              </w:rPr>
              <w:br w:type="textWrapping"/>
            </w:r>
            <w:r>
              <w:rPr>
                <w:rFonts w:hint="eastAsia" w:cs="宋体"/>
                <w:color w:val="000000"/>
                <w:szCs w:val="24"/>
              </w:rPr>
              <w:t>3.隔离类设备的配置变更，详细记录变更内容，包括IP策略、端口策略、应用通道、转发模式等；</w:t>
            </w:r>
            <w:r>
              <w:rPr>
                <w:rFonts w:hint="eastAsia" w:cs="宋体"/>
                <w:color w:val="000000"/>
                <w:szCs w:val="24"/>
              </w:rPr>
              <w:br w:type="textWrapping"/>
            </w:r>
            <w:r>
              <w:rPr>
                <w:rFonts w:hint="eastAsia" w:cs="宋体"/>
                <w:color w:val="000000"/>
                <w:szCs w:val="24"/>
              </w:rPr>
              <w:t>4. 态势感知分析等旁路安全设备配置变更，包括协议监控、端口监控、联动策略等；</w:t>
            </w:r>
            <w:r>
              <w:rPr>
                <w:rFonts w:hint="eastAsia" w:cs="宋体"/>
                <w:color w:val="000000"/>
                <w:szCs w:val="24"/>
              </w:rPr>
              <w:br w:type="textWrapping"/>
            </w:r>
            <w:r>
              <w:rPr>
                <w:rFonts w:hint="eastAsia" w:cs="宋体"/>
                <w:color w:val="000000"/>
                <w:szCs w:val="24"/>
              </w:rPr>
              <w:t>5.杀毒软件等终端管理类软件的配置变更，包括扫描策略、准入方式、控制范围等；</w:t>
            </w:r>
            <w:r>
              <w:rPr>
                <w:rFonts w:hint="eastAsia" w:cs="宋体"/>
                <w:color w:val="000000"/>
                <w:szCs w:val="24"/>
              </w:rPr>
              <w:br w:type="textWrapping"/>
            </w:r>
            <w:r>
              <w:rPr>
                <w:rFonts w:hint="eastAsia" w:cs="宋体"/>
                <w:color w:val="000000"/>
                <w:szCs w:val="24"/>
              </w:rPr>
              <w:t>6.在协助医院进行安全设备或软件的配置变更时，要充分考虑到配置变更过程中和变更后带来的安全风险，采取一定的预防措施，将风险降低到最小，最小化对医院正常业务开展的带来的影响。</w:t>
            </w:r>
          </w:p>
        </w:tc>
      </w:tr>
      <w:tr>
        <w:tblPrEx>
          <w:tblLayout w:type="fixed"/>
          <w:tblCellMar>
            <w:top w:w="0" w:type="dxa"/>
            <w:left w:w="108" w:type="dxa"/>
            <w:bottom w:w="0" w:type="dxa"/>
            <w:right w:w="108" w:type="dxa"/>
          </w:tblCellMar>
        </w:tblPrEx>
        <w:trPr>
          <w:trHeight w:val="576" w:hRule="atLeast"/>
        </w:trPr>
        <w:tc>
          <w:tcPr>
            <w:tcW w:w="837" w:type="dxa"/>
            <w:tcBorders>
              <w:top w:val="nil"/>
              <w:left w:val="single" w:color="auto" w:sz="4" w:space="0"/>
              <w:bottom w:val="single" w:color="auto" w:sz="4" w:space="0"/>
              <w:right w:val="single" w:color="auto" w:sz="4" w:space="0"/>
            </w:tcBorders>
            <w:noWrap/>
            <w:vAlign w:val="center"/>
          </w:tcPr>
          <w:p>
            <w:pPr>
              <w:spacing w:line="240" w:lineRule="auto"/>
              <w:jc w:val="center"/>
              <w:rPr>
                <w:rFonts w:hint="eastAsia" w:cs="宋体"/>
                <w:color w:val="000000"/>
                <w:szCs w:val="24"/>
              </w:rPr>
            </w:pPr>
            <w:r>
              <w:rPr>
                <w:rFonts w:hint="eastAsia" w:cs="宋体"/>
                <w:color w:val="000000"/>
                <w:szCs w:val="24"/>
              </w:rPr>
              <w:t>3</w:t>
            </w:r>
          </w:p>
        </w:tc>
        <w:tc>
          <w:tcPr>
            <w:tcW w:w="1778" w:type="dxa"/>
            <w:tcBorders>
              <w:top w:val="nil"/>
              <w:left w:val="nil"/>
              <w:bottom w:val="single" w:color="auto" w:sz="4" w:space="0"/>
              <w:right w:val="single" w:color="auto" w:sz="4" w:space="0"/>
            </w:tcBorders>
            <w:noWrap/>
            <w:vAlign w:val="center"/>
          </w:tcPr>
          <w:p>
            <w:pPr>
              <w:spacing w:line="240" w:lineRule="auto"/>
              <w:jc w:val="center"/>
              <w:rPr>
                <w:rFonts w:hint="eastAsia" w:cs="宋体"/>
                <w:color w:val="000000"/>
                <w:szCs w:val="24"/>
              </w:rPr>
            </w:pPr>
            <w:r>
              <w:rPr>
                <w:rFonts w:hint="eastAsia" w:cs="宋体"/>
                <w:color w:val="000000"/>
                <w:szCs w:val="24"/>
              </w:rPr>
              <w:t>服务交付</w:t>
            </w:r>
          </w:p>
        </w:tc>
        <w:tc>
          <w:tcPr>
            <w:tcW w:w="5908" w:type="dxa"/>
            <w:tcBorders>
              <w:top w:val="nil"/>
              <w:left w:val="nil"/>
              <w:bottom w:val="single" w:color="auto" w:sz="4" w:space="0"/>
              <w:right w:val="single" w:color="auto" w:sz="4" w:space="0"/>
            </w:tcBorders>
            <w:vAlign w:val="center"/>
          </w:tcPr>
          <w:p>
            <w:pPr>
              <w:spacing w:line="240" w:lineRule="auto"/>
              <w:rPr>
                <w:rFonts w:hint="eastAsia" w:cs="宋体"/>
                <w:color w:val="000000"/>
                <w:szCs w:val="24"/>
              </w:rPr>
            </w:pPr>
            <w:r>
              <w:rPr>
                <w:rFonts w:hint="eastAsia" w:cs="宋体"/>
                <w:color w:val="000000"/>
                <w:szCs w:val="24"/>
              </w:rPr>
              <w:t>每次进行调整后，服务人员需对调整情况进行记录，并形成相关记录文档，记录内容包括调整的设备范围、调整的策略措施等。</w:t>
            </w:r>
          </w:p>
        </w:tc>
      </w:tr>
    </w:tbl>
    <w:p>
      <w:pPr>
        <w:rPr>
          <w:rFonts w:hint="eastAsia"/>
          <w:szCs w:val="21"/>
        </w:rPr>
      </w:pPr>
    </w:p>
    <w:p>
      <w:pPr>
        <w:pStyle w:val="5"/>
        <w:rPr>
          <w:color w:val="000000" w:themeColor="text1"/>
          <w14:textFill>
            <w14:solidFill>
              <w14:schemeClr w14:val="tx1"/>
            </w14:solidFill>
          </w14:textFill>
        </w:rPr>
      </w:pPr>
      <w:r>
        <w:rPr>
          <w:rFonts w:hint="eastAsia"/>
          <w:color w:val="000000" w:themeColor="text1"/>
          <w14:textFill>
            <w14:solidFill>
              <w14:schemeClr w14:val="tx1"/>
            </w14:solidFill>
          </w14:textFill>
        </w:rPr>
        <w:t>主机基线检查服务</w:t>
      </w:r>
    </w:p>
    <w:tbl>
      <w:tblPr>
        <w:tblStyle w:val="33"/>
        <w:tblW w:w="8523" w:type="dxa"/>
        <w:tblInd w:w="0" w:type="dxa"/>
        <w:tblLayout w:type="fixed"/>
        <w:tblCellMar>
          <w:top w:w="0" w:type="dxa"/>
          <w:left w:w="108" w:type="dxa"/>
          <w:bottom w:w="0" w:type="dxa"/>
          <w:right w:w="108" w:type="dxa"/>
        </w:tblCellMar>
      </w:tblPr>
      <w:tblGrid>
        <w:gridCol w:w="837"/>
        <w:gridCol w:w="1778"/>
        <w:gridCol w:w="5908"/>
      </w:tblGrid>
      <w:tr>
        <w:tblPrEx>
          <w:tblLayout w:type="fixed"/>
          <w:tblCellMar>
            <w:top w:w="0" w:type="dxa"/>
            <w:left w:w="108" w:type="dxa"/>
            <w:bottom w:w="0" w:type="dxa"/>
            <w:right w:w="108" w:type="dxa"/>
          </w:tblCellMar>
        </w:tblPrEx>
        <w:trPr>
          <w:trHeight w:val="288" w:hRule="atLeast"/>
        </w:trPr>
        <w:tc>
          <w:tcPr>
            <w:tcW w:w="837" w:type="dxa"/>
            <w:tcBorders>
              <w:top w:val="single" w:color="auto" w:sz="4" w:space="0"/>
              <w:left w:val="single" w:color="auto" w:sz="4" w:space="0"/>
              <w:bottom w:val="single" w:color="auto" w:sz="4" w:space="0"/>
              <w:right w:val="single" w:color="auto" w:sz="4" w:space="0"/>
            </w:tcBorders>
            <w:noWrap/>
            <w:vAlign w:val="center"/>
          </w:tcPr>
          <w:p>
            <w:pPr>
              <w:spacing w:line="240" w:lineRule="auto"/>
              <w:jc w:val="center"/>
              <w:rPr>
                <w:rFonts w:hint="eastAsia" w:cs="宋体"/>
                <w:b/>
                <w:bCs/>
                <w:color w:val="000000"/>
                <w:szCs w:val="24"/>
              </w:rPr>
            </w:pPr>
            <w:r>
              <w:rPr>
                <w:rFonts w:hint="eastAsia" w:cs="宋体"/>
                <w:b/>
                <w:bCs/>
                <w:color w:val="000000"/>
                <w:szCs w:val="24"/>
              </w:rPr>
              <w:t>序号</w:t>
            </w:r>
          </w:p>
        </w:tc>
        <w:tc>
          <w:tcPr>
            <w:tcW w:w="1778" w:type="dxa"/>
            <w:tcBorders>
              <w:top w:val="single" w:color="auto" w:sz="4" w:space="0"/>
              <w:left w:val="nil"/>
              <w:bottom w:val="single" w:color="auto" w:sz="4" w:space="0"/>
              <w:right w:val="single" w:color="auto" w:sz="4" w:space="0"/>
            </w:tcBorders>
            <w:noWrap/>
            <w:vAlign w:val="center"/>
          </w:tcPr>
          <w:p>
            <w:pPr>
              <w:spacing w:line="240" w:lineRule="auto"/>
              <w:jc w:val="center"/>
              <w:rPr>
                <w:rFonts w:hint="eastAsia" w:cs="宋体"/>
                <w:b/>
                <w:bCs/>
                <w:color w:val="000000"/>
                <w:szCs w:val="24"/>
              </w:rPr>
            </w:pPr>
            <w:r>
              <w:rPr>
                <w:rFonts w:hint="eastAsia" w:cs="宋体"/>
                <w:b/>
                <w:bCs/>
                <w:color w:val="000000"/>
                <w:szCs w:val="24"/>
              </w:rPr>
              <w:t>指标项</w:t>
            </w:r>
          </w:p>
        </w:tc>
        <w:tc>
          <w:tcPr>
            <w:tcW w:w="5908" w:type="dxa"/>
            <w:tcBorders>
              <w:top w:val="single" w:color="auto" w:sz="4" w:space="0"/>
              <w:left w:val="nil"/>
              <w:bottom w:val="single" w:color="auto" w:sz="4" w:space="0"/>
              <w:right w:val="single" w:color="auto" w:sz="4" w:space="0"/>
            </w:tcBorders>
            <w:vAlign w:val="center"/>
          </w:tcPr>
          <w:p>
            <w:pPr>
              <w:spacing w:line="240" w:lineRule="auto"/>
              <w:jc w:val="center"/>
              <w:rPr>
                <w:rFonts w:hint="eastAsia" w:cs="宋体"/>
                <w:b/>
                <w:bCs/>
                <w:color w:val="000000"/>
                <w:szCs w:val="24"/>
              </w:rPr>
            </w:pPr>
            <w:r>
              <w:rPr>
                <w:rFonts w:hint="eastAsia" w:cs="宋体"/>
                <w:b/>
                <w:bCs/>
                <w:color w:val="000000"/>
                <w:szCs w:val="24"/>
              </w:rPr>
              <w:t>指标要求</w:t>
            </w:r>
          </w:p>
        </w:tc>
      </w:tr>
      <w:tr>
        <w:tblPrEx>
          <w:tblLayout w:type="fixed"/>
          <w:tblCellMar>
            <w:top w:w="0" w:type="dxa"/>
            <w:left w:w="108" w:type="dxa"/>
            <w:bottom w:w="0" w:type="dxa"/>
            <w:right w:w="108" w:type="dxa"/>
          </w:tblCellMar>
        </w:tblPrEx>
        <w:trPr>
          <w:trHeight w:val="288" w:hRule="atLeast"/>
        </w:trPr>
        <w:tc>
          <w:tcPr>
            <w:tcW w:w="837" w:type="dxa"/>
            <w:tcBorders>
              <w:top w:val="nil"/>
              <w:left w:val="single" w:color="auto" w:sz="4" w:space="0"/>
              <w:bottom w:val="single" w:color="auto" w:sz="4" w:space="0"/>
              <w:right w:val="single" w:color="auto" w:sz="4" w:space="0"/>
            </w:tcBorders>
            <w:noWrap/>
            <w:vAlign w:val="center"/>
          </w:tcPr>
          <w:p>
            <w:pPr>
              <w:spacing w:line="240" w:lineRule="auto"/>
              <w:jc w:val="center"/>
              <w:rPr>
                <w:rFonts w:hint="eastAsia" w:cs="宋体"/>
                <w:color w:val="000000"/>
                <w:szCs w:val="24"/>
              </w:rPr>
            </w:pPr>
            <w:r>
              <w:rPr>
                <w:rFonts w:hint="eastAsia" w:cs="宋体"/>
                <w:color w:val="000000"/>
                <w:szCs w:val="24"/>
              </w:rPr>
              <w:t>1</w:t>
            </w:r>
          </w:p>
        </w:tc>
        <w:tc>
          <w:tcPr>
            <w:tcW w:w="1778" w:type="dxa"/>
            <w:tcBorders>
              <w:top w:val="nil"/>
              <w:left w:val="nil"/>
              <w:bottom w:val="single" w:color="auto" w:sz="4" w:space="0"/>
              <w:right w:val="single" w:color="auto" w:sz="4" w:space="0"/>
            </w:tcBorders>
            <w:noWrap/>
            <w:vAlign w:val="center"/>
          </w:tcPr>
          <w:p>
            <w:pPr>
              <w:spacing w:line="240" w:lineRule="auto"/>
              <w:jc w:val="center"/>
              <w:rPr>
                <w:rFonts w:hint="eastAsia" w:cs="宋体"/>
                <w:color w:val="000000"/>
                <w:szCs w:val="24"/>
              </w:rPr>
            </w:pPr>
            <w:r>
              <w:rPr>
                <w:rFonts w:hint="eastAsia" w:cs="宋体"/>
                <w:color w:val="000000"/>
                <w:szCs w:val="24"/>
              </w:rPr>
              <w:t>频次</w:t>
            </w:r>
          </w:p>
        </w:tc>
        <w:tc>
          <w:tcPr>
            <w:tcW w:w="5908" w:type="dxa"/>
            <w:tcBorders>
              <w:top w:val="nil"/>
              <w:left w:val="nil"/>
              <w:bottom w:val="single" w:color="auto" w:sz="4" w:space="0"/>
              <w:right w:val="single" w:color="auto" w:sz="4" w:space="0"/>
            </w:tcBorders>
            <w:noWrap/>
            <w:vAlign w:val="center"/>
          </w:tcPr>
          <w:p>
            <w:pPr>
              <w:spacing w:line="240" w:lineRule="auto"/>
              <w:rPr>
                <w:rFonts w:hint="eastAsia" w:cs="宋体"/>
                <w:color w:val="000000"/>
                <w:szCs w:val="24"/>
              </w:rPr>
            </w:pPr>
            <w:r>
              <w:rPr>
                <w:rFonts w:hint="eastAsia" w:cs="宋体"/>
                <w:color w:val="000000"/>
                <w:szCs w:val="24"/>
              </w:rPr>
              <w:t>院内主要设备主机，每个一次，每年不超200个</w:t>
            </w:r>
          </w:p>
        </w:tc>
      </w:tr>
      <w:tr>
        <w:tblPrEx>
          <w:tblLayout w:type="fixed"/>
          <w:tblCellMar>
            <w:top w:w="0" w:type="dxa"/>
            <w:left w:w="108" w:type="dxa"/>
            <w:bottom w:w="0" w:type="dxa"/>
            <w:right w:w="108" w:type="dxa"/>
          </w:tblCellMar>
        </w:tblPrEx>
        <w:trPr>
          <w:trHeight w:val="3744" w:hRule="atLeast"/>
        </w:trPr>
        <w:tc>
          <w:tcPr>
            <w:tcW w:w="837" w:type="dxa"/>
            <w:tcBorders>
              <w:top w:val="nil"/>
              <w:left w:val="single" w:color="auto" w:sz="4" w:space="0"/>
              <w:bottom w:val="single" w:color="auto" w:sz="4" w:space="0"/>
              <w:right w:val="single" w:color="auto" w:sz="4" w:space="0"/>
            </w:tcBorders>
            <w:noWrap/>
            <w:vAlign w:val="center"/>
          </w:tcPr>
          <w:p>
            <w:pPr>
              <w:spacing w:line="240" w:lineRule="auto"/>
              <w:jc w:val="center"/>
              <w:rPr>
                <w:rFonts w:hint="eastAsia" w:cs="宋体"/>
                <w:color w:val="000000"/>
                <w:szCs w:val="24"/>
              </w:rPr>
            </w:pPr>
            <w:r>
              <w:rPr>
                <w:rFonts w:hint="eastAsia" w:cs="宋体"/>
                <w:color w:val="000000"/>
                <w:szCs w:val="24"/>
              </w:rPr>
              <w:t>2</w:t>
            </w:r>
          </w:p>
        </w:tc>
        <w:tc>
          <w:tcPr>
            <w:tcW w:w="1778" w:type="dxa"/>
            <w:tcBorders>
              <w:top w:val="nil"/>
              <w:left w:val="nil"/>
              <w:bottom w:val="single" w:color="auto" w:sz="4" w:space="0"/>
              <w:right w:val="single" w:color="auto" w:sz="4" w:space="0"/>
            </w:tcBorders>
            <w:noWrap/>
            <w:vAlign w:val="center"/>
          </w:tcPr>
          <w:p>
            <w:pPr>
              <w:spacing w:line="240" w:lineRule="auto"/>
              <w:jc w:val="center"/>
              <w:rPr>
                <w:rFonts w:hint="eastAsia" w:cs="宋体"/>
                <w:color w:val="000000"/>
                <w:szCs w:val="24"/>
              </w:rPr>
            </w:pPr>
            <w:r>
              <w:rPr>
                <w:rFonts w:hint="eastAsia" w:cs="宋体"/>
                <w:color w:val="000000"/>
                <w:szCs w:val="24"/>
              </w:rPr>
              <w:t>服务要求</w:t>
            </w:r>
          </w:p>
        </w:tc>
        <w:tc>
          <w:tcPr>
            <w:tcW w:w="5908" w:type="dxa"/>
            <w:tcBorders>
              <w:top w:val="nil"/>
              <w:left w:val="nil"/>
              <w:bottom w:val="single" w:color="auto" w:sz="4" w:space="0"/>
              <w:right w:val="single" w:color="auto" w:sz="4" w:space="0"/>
            </w:tcBorders>
            <w:vAlign w:val="center"/>
          </w:tcPr>
          <w:p>
            <w:pPr>
              <w:spacing w:line="240" w:lineRule="auto"/>
              <w:rPr>
                <w:rFonts w:hint="eastAsia" w:cs="宋体"/>
                <w:color w:val="000000"/>
                <w:szCs w:val="24"/>
              </w:rPr>
            </w:pPr>
            <w:r>
              <w:rPr>
                <w:rFonts w:hint="eastAsia" w:cs="宋体"/>
                <w:color w:val="000000"/>
                <w:szCs w:val="24"/>
              </w:rPr>
              <w:t>1</w:t>
            </w:r>
            <w:r>
              <w:rPr>
                <w:rFonts w:cs="宋体"/>
                <w:color w:val="000000"/>
                <w:szCs w:val="24"/>
              </w:rPr>
              <w:t>.</w:t>
            </w:r>
            <w:r>
              <w:rPr>
                <w:rFonts w:hint="eastAsia" w:cs="宋体"/>
                <w:color w:val="000000"/>
                <w:szCs w:val="24"/>
              </w:rPr>
              <w:t>按照网络安全等级保护相关控制细项要求，对服务范围内主机进行安全基线检查，安全基线是保持信息系统安全性、机密性、可用性的最小安全控制，是系统最小安全保证，是最基本的安全要求。安全基线包含配置核查的最低标准要求，同时涵盖了管理类和技术类两个层面。</w:t>
            </w:r>
            <w:r>
              <w:rPr>
                <w:rFonts w:hint="eastAsia" w:cs="宋体"/>
                <w:color w:val="000000"/>
                <w:szCs w:val="24"/>
              </w:rPr>
              <w:br w:type="textWrapping"/>
            </w:r>
            <w:r>
              <w:rPr>
                <w:rFonts w:hint="eastAsia" w:cs="宋体"/>
                <w:color w:val="000000"/>
                <w:szCs w:val="24"/>
              </w:rPr>
              <w:t>2</w:t>
            </w:r>
            <w:r>
              <w:rPr>
                <w:rFonts w:cs="宋体"/>
                <w:color w:val="000000"/>
                <w:szCs w:val="24"/>
              </w:rPr>
              <w:t>.</w:t>
            </w:r>
            <w:r>
              <w:rPr>
                <w:rFonts w:hint="eastAsia" w:cs="宋体"/>
                <w:color w:val="000000"/>
                <w:szCs w:val="24"/>
              </w:rPr>
              <w:t>制定安全基线标准：根据相关法律法规、行业标准制定用户安全基线基准</w:t>
            </w:r>
            <w:r>
              <w:rPr>
                <w:rFonts w:hint="eastAsia" w:cs="宋体"/>
                <w:color w:val="000000"/>
                <w:szCs w:val="24"/>
              </w:rPr>
              <w:br w:type="textWrapping"/>
            </w:r>
            <w:r>
              <w:rPr>
                <w:rFonts w:hint="eastAsia" w:cs="宋体"/>
                <w:color w:val="000000"/>
                <w:szCs w:val="24"/>
              </w:rPr>
              <w:t>3</w:t>
            </w:r>
            <w:r>
              <w:rPr>
                <w:rFonts w:cs="宋体"/>
                <w:color w:val="000000"/>
                <w:szCs w:val="24"/>
              </w:rPr>
              <w:t>.</w:t>
            </w:r>
            <w:r>
              <w:rPr>
                <w:rFonts w:hint="eastAsia" w:cs="宋体"/>
                <w:color w:val="000000"/>
                <w:szCs w:val="24"/>
              </w:rPr>
              <w:t>安全配置检查:系统管理和维护的正常配置，合理配置，及优化配置。配置检查主要针对操作系统、网络设备、安全设备、数据库等，检查项包括系统目录权限，帐号管理策略，文件系统配置，进程通信管理等方面。</w:t>
            </w:r>
            <w:r>
              <w:rPr>
                <w:rFonts w:hint="eastAsia" w:cs="宋体"/>
                <w:color w:val="000000"/>
                <w:szCs w:val="24"/>
              </w:rPr>
              <w:br w:type="textWrapping"/>
            </w:r>
            <w:r>
              <w:rPr>
                <w:rFonts w:hint="eastAsia" w:cs="宋体"/>
                <w:color w:val="000000"/>
                <w:szCs w:val="24"/>
              </w:rPr>
              <w:t>4</w:t>
            </w:r>
            <w:r>
              <w:rPr>
                <w:rFonts w:cs="宋体"/>
                <w:color w:val="000000"/>
                <w:szCs w:val="24"/>
              </w:rPr>
              <w:t>.</w:t>
            </w:r>
            <w:r>
              <w:rPr>
                <w:rFonts w:hint="eastAsia" w:cs="宋体"/>
                <w:color w:val="000000"/>
                <w:szCs w:val="24"/>
              </w:rPr>
              <w:t>安全机制检查:安全机制的使用和正常配置，合理配置，及优化配置。例如日志及审计、备份与恢复，加密与通信，特殊授权及访问控制等安全特性。</w:t>
            </w:r>
          </w:p>
        </w:tc>
      </w:tr>
      <w:tr>
        <w:tblPrEx>
          <w:tblLayout w:type="fixed"/>
          <w:tblCellMar>
            <w:top w:w="0" w:type="dxa"/>
            <w:left w:w="108" w:type="dxa"/>
            <w:bottom w:w="0" w:type="dxa"/>
            <w:right w:w="108" w:type="dxa"/>
          </w:tblCellMar>
        </w:tblPrEx>
        <w:trPr>
          <w:trHeight w:val="962" w:hRule="atLeast"/>
        </w:trPr>
        <w:tc>
          <w:tcPr>
            <w:tcW w:w="837" w:type="dxa"/>
            <w:tcBorders>
              <w:top w:val="nil"/>
              <w:left w:val="single" w:color="auto" w:sz="4" w:space="0"/>
              <w:bottom w:val="single" w:color="auto" w:sz="4" w:space="0"/>
              <w:right w:val="single" w:color="auto" w:sz="4" w:space="0"/>
            </w:tcBorders>
            <w:noWrap/>
            <w:vAlign w:val="center"/>
          </w:tcPr>
          <w:p>
            <w:pPr>
              <w:spacing w:line="240" w:lineRule="auto"/>
              <w:jc w:val="center"/>
              <w:rPr>
                <w:rFonts w:hint="eastAsia" w:cs="宋体"/>
                <w:color w:val="000000"/>
                <w:szCs w:val="24"/>
              </w:rPr>
            </w:pPr>
            <w:r>
              <w:rPr>
                <w:rFonts w:hint="eastAsia" w:cs="宋体"/>
                <w:color w:val="000000"/>
                <w:szCs w:val="24"/>
              </w:rPr>
              <w:t>3</w:t>
            </w:r>
          </w:p>
        </w:tc>
        <w:tc>
          <w:tcPr>
            <w:tcW w:w="1778" w:type="dxa"/>
            <w:tcBorders>
              <w:top w:val="nil"/>
              <w:left w:val="nil"/>
              <w:bottom w:val="single" w:color="auto" w:sz="4" w:space="0"/>
              <w:right w:val="single" w:color="auto" w:sz="4" w:space="0"/>
            </w:tcBorders>
            <w:noWrap/>
            <w:vAlign w:val="center"/>
          </w:tcPr>
          <w:p>
            <w:pPr>
              <w:spacing w:line="240" w:lineRule="auto"/>
              <w:jc w:val="center"/>
              <w:rPr>
                <w:rFonts w:hint="eastAsia" w:cs="宋体"/>
                <w:color w:val="000000"/>
                <w:szCs w:val="24"/>
              </w:rPr>
            </w:pPr>
            <w:r>
              <w:rPr>
                <w:rFonts w:hint="eastAsia" w:cs="宋体"/>
                <w:color w:val="000000"/>
                <w:szCs w:val="24"/>
              </w:rPr>
              <w:t>服务内容</w:t>
            </w:r>
          </w:p>
        </w:tc>
        <w:tc>
          <w:tcPr>
            <w:tcW w:w="5908" w:type="dxa"/>
            <w:tcBorders>
              <w:top w:val="nil"/>
              <w:left w:val="nil"/>
              <w:bottom w:val="single" w:color="auto" w:sz="4" w:space="0"/>
              <w:right w:val="single" w:color="auto" w:sz="4" w:space="0"/>
            </w:tcBorders>
            <w:vAlign w:val="center"/>
          </w:tcPr>
          <w:p>
            <w:pPr>
              <w:spacing w:line="240" w:lineRule="auto"/>
              <w:rPr>
                <w:rFonts w:hint="eastAsia" w:cs="宋体"/>
                <w:color w:val="000000"/>
                <w:szCs w:val="24"/>
              </w:rPr>
            </w:pPr>
            <w:r>
              <w:rPr>
                <w:rFonts w:hint="eastAsia" w:cs="宋体"/>
                <w:color w:val="000000"/>
                <w:szCs w:val="24"/>
              </w:rPr>
              <w:t>整体基线检查包括但不限于以下方面：</w:t>
            </w:r>
            <w:r>
              <w:rPr>
                <w:rFonts w:hint="eastAsia" w:cs="宋体"/>
                <w:color w:val="000000"/>
                <w:szCs w:val="24"/>
              </w:rPr>
              <w:br w:type="textWrapping"/>
            </w:r>
            <w:r>
              <w:rPr>
                <w:rFonts w:ascii="Wingdings" w:hAnsi="Wingdings" w:cs="宋体"/>
                <w:color w:val="000000"/>
                <w:szCs w:val="24"/>
              </w:rPr>
              <w:t>Ø</w:t>
            </w:r>
            <w:r>
              <w:rPr>
                <w:rFonts w:hint="eastAsia" w:cs="宋体"/>
                <w:color w:val="000000"/>
                <w:szCs w:val="24"/>
              </w:rPr>
              <w:t xml:space="preserve"> 主机配置检查</w:t>
            </w:r>
            <w:r>
              <w:rPr>
                <w:rFonts w:hint="eastAsia" w:cs="宋体"/>
                <w:color w:val="000000"/>
                <w:szCs w:val="24"/>
              </w:rPr>
              <w:br w:type="textWrapping"/>
            </w:r>
            <w:r>
              <w:rPr>
                <w:rFonts w:hint="eastAsia" w:cs="宋体"/>
                <w:color w:val="000000"/>
                <w:szCs w:val="24"/>
              </w:rPr>
              <w:t>1. OS安全</w:t>
            </w:r>
            <w:r>
              <w:rPr>
                <w:rFonts w:hint="eastAsia" w:cs="宋体"/>
                <w:color w:val="000000"/>
                <w:szCs w:val="24"/>
              </w:rPr>
              <w:br w:type="textWrapping"/>
            </w:r>
            <w:r>
              <w:rPr>
                <w:rFonts w:hint="eastAsia" w:cs="宋体"/>
                <w:color w:val="000000"/>
                <w:szCs w:val="24"/>
              </w:rPr>
              <w:t>2. 帐号和口令管理</w:t>
            </w:r>
            <w:r>
              <w:rPr>
                <w:rFonts w:hint="eastAsia" w:cs="宋体"/>
                <w:color w:val="000000"/>
                <w:szCs w:val="24"/>
              </w:rPr>
              <w:br w:type="textWrapping"/>
            </w:r>
            <w:r>
              <w:rPr>
                <w:rFonts w:hint="eastAsia" w:cs="宋体"/>
                <w:color w:val="000000"/>
                <w:szCs w:val="24"/>
              </w:rPr>
              <w:t>3. 认证和授权策略</w:t>
            </w:r>
            <w:r>
              <w:rPr>
                <w:rFonts w:hint="eastAsia" w:cs="宋体"/>
                <w:color w:val="000000"/>
                <w:szCs w:val="24"/>
              </w:rPr>
              <w:br w:type="textWrapping"/>
            </w:r>
            <w:r>
              <w:rPr>
                <w:rFonts w:hint="eastAsia" w:cs="宋体"/>
                <w:color w:val="000000"/>
                <w:szCs w:val="24"/>
              </w:rPr>
              <w:t>4. 网络与服务</w:t>
            </w:r>
            <w:r>
              <w:rPr>
                <w:rFonts w:hint="eastAsia" w:cs="宋体"/>
                <w:color w:val="000000"/>
                <w:szCs w:val="24"/>
              </w:rPr>
              <w:br w:type="textWrapping"/>
            </w:r>
            <w:r>
              <w:rPr>
                <w:rFonts w:hint="eastAsia" w:cs="宋体"/>
                <w:color w:val="000000"/>
                <w:szCs w:val="24"/>
              </w:rPr>
              <w:t>5. 访问控制策略</w:t>
            </w:r>
            <w:r>
              <w:rPr>
                <w:rFonts w:hint="eastAsia" w:cs="宋体"/>
                <w:color w:val="000000"/>
                <w:szCs w:val="24"/>
              </w:rPr>
              <w:br w:type="textWrapping"/>
            </w:r>
            <w:r>
              <w:rPr>
                <w:rFonts w:hint="eastAsia" w:cs="宋体"/>
                <w:color w:val="000000"/>
                <w:szCs w:val="24"/>
              </w:rPr>
              <w:t>6. 通讯协议、路由协议</w:t>
            </w:r>
            <w:r>
              <w:rPr>
                <w:rFonts w:hint="eastAsia" w:cs="宋体"/>
                <w:color w:val="000000"/>
                <w:szCs w:val="24"/>
              </w:rPr>
              <w:br w:type="textWrapping"/>
            </w:r>
            <w:r>
              <w:rPr>
                <w:rFonts w:hint="eastAsia" w:cs="宋体"/>
                <w:color w:val="000000"/>
                <w:szCs w:val="24"/>
              </w:rPr>
              <w:t>7. 加密管理</w:t>
            </w:r>
            <w:r>
              <w:rPr>
                <w:rFonts w:hint="eastAsia" w:cs="宋体"/>
                <w:color w:val="000000"/>
                <w:szCs w:val="24"/>
              </w:rPr>
              <w:br w:type="textWrapping"/>
            </w:r>
            <w:r>
              <w:rPr>
                <w:rFonts w:hint="eastAsia" w:cs="宋体"/>
                <w:color w:val="000000"/>
                <w:szCs w:val="24"/>
              </w:rPr>
              <w:t>8. 设备其他安全配置</w:t>
            </w:r>
            <w:r>
              <w:rPr>
                <w:rFonts w:hint="eastAsia" w:cs="宋体"/>
                <w:color w:val="000000"/>
                <w:szCs w:val="24"/>
              </w:rPr>
              <w:br w:type="textWrapping"/>
            </w:r>
            <w:r>
              <w:rPr>
                <w:rFonts w:ascii="Wingdings" w:hAnsi="Wingdings" w:cs="宋体"/>
                <w:color w:val="000000"/>
                <w:szCs w:val="24"/>
              </w:rPr>
              <w:t>Ø</w:t>
            </w:r>
            <w:r>
              <w:rPr>
                <w:rFonts w:hint="eastAsia" w:cs="宋体"/>
                <w:color w:val="000000"/>
                <w:szCs w:val="24"/>
              </w:rPr>
              <w:t xml:space="preserve"> 主机操作系统检查：</w:t>
            </w:r>
            <w:r>
              <w:rPr>
                <w:rFonts w:hint="eastAsia" w:cs="宋体"/>
                <w:color w:val="000000"/>
                <w:szCs w:val="24"/>
              </w:rPr>
              <w:br w:type="textWrapping"/>
            </w:r>
            <w:r>
              <w:rPr>
                <w:rFonts w:hint="eastAsia" w:cs="宋体"/>
                <w:color w:val="000000"/>
                <w:szCs w:val="24"/>
              </w:rPr>
              <w:t>1. 帐号和口令管理</w:t>
            </w:r>
            <w:r>
              <w:rPr>
                <w:rFonts w:hint="eastAsia" w:cs="宋体"/>
                <w:color w:val="000000"/>
                <w:szCs w:val="24"/>
              </w:rPr>
              <w:br w:type="textWrapping"/>
            </w:r>
            <w:r>
              <w:rPr>
                <w:rFonts w:hint="eastAsia" w:cs="宋体"/>
                <w:color w:val="000000"/>
                <w:szCs w:val="24"/>
              </w:rPr>
              <w:t>2. 认证、授权策略</w:t>
            </w:r>
            <w:r>
              <w:rPr>
                <w:rFonts w:hint="eastAsia" w:cs="宋体"/>
                <w:color w:val="000000"/>
                <w:szCs w:val="24"/>
              </w:rPr>
              <w:br w:type="textWrapping"/>
            </w:r>
            <w:r>
              <w:rPr>
                <w:rFonts w:hint="eastAsia" w:cs="宋体"/>
                <w:color w:val="000000"/>
                <w:szCs w:val="24"/>
              </w:rPr>
              <w:t>3. 网络与服务、进程和启动</w:t>
            </w:r>
            <w:r>
              <w:rPr>
                <w:rFonts w:hint="eastAsia" w:cs="宋体"/>
                <w:color w:val="000000"/>
                <w:szCs w:val="24"/>
              </w:rPr>
              <w:br w:type="textWrapping"/>
            </w:r>
            <w:r>
              <w:rPr>
                <w:rFonts w:hint="eastAsia" w:cs="宋体"/>
                <w:color w:val="000000"/>
                <w:szCs w:val="24"/>
              </w:rPr>
              <w:t>4. 文件系统权限</w:t>
            </w:r>
            <w:r>
              <w:rPr>
                <w:rFonts w:hint="eastAsia" w:cs="宋体"/>
                <w:color w:val="000000"/>
                <w:szCs w:val="24"/>
              </w:rPr>
              <w:br w:type="textWrapping"/>
            </w:r>
            <w:r>
              <w:rPr>
                <w:rFonts w:hint="eastAsia" w:cs="宋体"/>
                <w:color w:val="000000"/>
                <w:szCs w:val="24"/>
              </w:rPr>
              <w:t>5. 访问控制</w:t>
            </w:r>
            <w:r>
              <w:rPr>
                <w:rFonts w:hint="eastAsia" w:cs="宋体"/>
                <w:color w:val="000000"/>
                <w:szCs w:val="24"/>
              </w:rPr>
              <w:br w:type="textWrapping"/>
            </w:r>
            <w:r>
              <w:rPr>
                <w:rFonts w:hint="eastAsia" w:cs="宋体"/>
                <w:color w:val="000000"/>
                <w:szCs w:val="24"/>
              </w:rPr>
              <w:t>6. 通讯协议</w:t>
            </w:r>
            <w:r>
              <w:rPr>
                <w:rFonts w:hint="eastAsia" w:cs="宋体"/>
                <w:color w:val="000000"/>
                <w:szCs w:val="24"/>
              </w:rPr>
              <w:br w:type="textWrapping"/>
            </w:r>
            <w:r>
              <w:rPr>
                <w:rFonts w:hint="eastAsia" w:cs="宋体"/>
                <w:color w:val="000000"/>
                <w:szCs w:val="24"/>
              </w:rPr>
              <w:t>7. 其他安全配置</w:t>
            </w:r>
            <w:r>
              <w:rPr>
                <w:rFonts w:hint="eastAsia" w:cs="宋体"/>
                <w:color w:val="000000"/>
                <w:szCs w:val="24"/>
              </w:rPr>
              <w:br w:type="textWrapping"/>
            </w:r>
            <w:r>
              <w:rPr>
                <w:rFonts w:ascii="Wingdings" w:hAnsi="Wingdings" w:cs="宋体"/>
                <w:color w:val="000000"/>
                <w:szCs w:val="24"/>
              </w:rPr>
              <w:t>Ø</w:t>
            </w:r>
            <w:r>
              <w:rPr>
                <w:rFonts w:hint="eastAsia" w:cs="宋体"/>
                <w:color w:val="000000"/>
                <w:szCs w:val="24"/>
              </w:rPr>
              <w:t xml:space="preserve"> 数据库检查：</w:t>
            </w:r>
            <w:r>
              <w:rPr>
                <w:rFonts w:hint="eastAsia" w:cs="宋体"/>
                <w:color w:val="000000"/>
                <w:szCs w:val="24"/>
              </w:rPr>
              <w:br w:type="textWrapping"/>
            </w:r>
            <w:r>
              <w:rPr>
                <w:rFonts w:hint="eastAsia" w:cs="宋体"/>
                <w:color w:val="000000"/>
                <w:szCs w:val="24"/>
              </w:rPr>
              <w:t>1. 帐号和口令管理</w:t>
            </w:r>
            <w:r>
              <w:rPr>
                <w:rFonts w:hint="eastAsia" w:cs="宋体"/>
                <w:color w:val="000000"/>
                <w:szCs w:val="24"/>
              </w:rPr>
              <w:br w:type="textWrapping"/>
            </w:r>
            <w:r>
              <w:rPr>
                <w:rFonts w:hint="eastAsia" w:cs="宋体"/>
                <w:color w:val="000000"/>
                <w:szCs w:val="24"/>
              </w:rPr>
              <w:t>2. 认证、授权策略</w:t>
            </w:r>
            <w:r>
              <w:rPr>
                <w:rFonts w:hint="eastAsia" w:cs="宋体"/>
                <w:color w:val="000000"/>
                <w:szCs w:val="24"/>
              </w:rPr>
              <w:br w:type="textWrapping"/>
            </w:r>
            <w:r>
              <w:rPr>
                <w:rFonts w:hint="eastAsia" w:cs="宋体"/>
                <w:color w:val="000000"/>
                <w:szCs w:val="24"/>
              </w:rPr>
              <w:t>3. 访问控制</w:t>
            </w:r>
            <w:r>
              <w:rPr>
                <w:rFonts w:hint="eastAsia" w:cs="宋体"/>
                <w:color w:val="000000"/>
                <w:szCs w:val="24"/>
              </w:rPr>
              <w:br w:type="textWrapping"/>
            </w:r>
            <w:r>
              <w:rPr>
                <w:rFonts w:hint="eastAsia" w:cs="宋体"/>
                <w:color w:val="000000"/>
                <w:szCs w:val="24"/>
              </w:rPr>
              <w:t>4. 通讯协议</w:t>
            </w:r>
            <w:r>
              <w:rPr>
                <w:rFonts w:hint="eastAsia" w:cs="宋体"/>
                <w:color w:val="000000"/>
                <w:szCs w:val="24"/>
              </w:rPr>
              <w:br w:type="textWrapping"/>
            </w:r>
            <w:r>
              <w:rPr>
                <w:rFonts w:hint="eastAsia" w:cs="宋体"/>
                <w:color w:val="000000"/>
                <w:szCs w:val="24"/>
              </w:rPr>
              <w:t>5. 其他安全配置</w:t>
            </w:r>
          </w:p>
        </w:tc>
      </w:tr>
      <w:tr>
        <w:tblPrEx>
          <w:tblLayout w:type="fixed"/>
          <w:tblCellMar>
            <w:top w:w="0" w:type="dxa"/>
            <w:left w:w="108" w:type="dxa"/>
            <w:bottom w:w="0" w:type="dxa"/>
            <w:right w:w="108" w:type="dxa"/>
          </w:tblCellMar>
        </w:tblPrEx>
        <w:trPr>
          <w:trHeight w:val="576" w:hRule="atLeast"/>
        </w:trPr>
        <w:tc>
          <w:tcPr>
            <w:tcW w:w="837" w:type="dxa"/>
            <w:tcBorders>
              <w:top w:val="nil"/>
              <w:left w:val="single" w:color="auto" w:sz="4" w:space="0"/>
              <w:bottom w:val="single" w:color="auto" w:sz="4" w:space="0"/>
              <w:right w:val="single" w:color="auto" w:sz="4" w:space="0"/>
            </w:tcBorders>
            <w:noWrap/>
            <w:vAlign w:val="center"/>
          </w:tcPr>
          <w:p>
            <w:pPr>
              <w:spacing w:line="240" w:lineRule="auto"/>
              <w:jc w:val="center"/>
              <w:rPr>
                <w:rFonts w:hint="eastAsia" w:cs="宋体"/>
                <w:color w:val="000000"/>
                <w:szCs w:val="24"/>
              </w:rPr>
            </w:pPr>
            <w:r>
              <w:rPr>
                <w:rFonts w:hint="eastAsia" w:cs="宋体"/>
                <w:color w:val="000000"/>
                <w:szCs w:val="24"/>
              </w:rPr>
              <w:t>4</w:t>
            </w:r>
          </w:p>
        </w:tc>
        <w:tc>
          <w:tcPr>
            <w:tcW w:w="1778" w:type="dxa"/>
            <w:tcBorders>
              <w:top w:val="nil"/>
              <w:left w:val="nil"/>
              <w:bottom w:val="single" w:color="auto" w:sz="4" w:space="0"/>
              <w:right w:val="single" w:color="auto" w:sz="4" w:space="0"/>
            </w:tcBorders>
            <w:noWrap/>
            <w:vAlign w:val="center"/>
          </w:tcPr>
          <w:p>
            <w:pPr>
              <w:spacing w:line="240" w:lineRule="auto"/>
              <w:jc w:val="center"/>
              <w:rPr>
                <w:rFonts w:hint="eastAsia" w:cs="宋体"/>
                <w:color w:val="000000"/>
                <w:szCs w:val="24"/>
              </w:rPr>
            </w:pPr>
            <w:r>
              <w:rPr>
                <w:rFonts w:hint="eastAsia" w:cs="宋体"/>
                <w:color w:val="000000"/>
                <w:szCs w:val="24"/>
              </w:rPr>
              <w:t>服务交付</w:t>
            </w:r>
          </w:p>
        </w:tc>
        <w:tc>
          <w:tcPr>
            <w:tcW w:w="5908" w:type="dxa"/>
            <w:tcBorders>
              <w:top w:val="nil"/>
              <w:left w:val="nil"/>
              <w:bottom w:val="single" w:color="auto" w:sz="4" w:space="0"/>
              <w:right w:val="single" w:color="auto" w:sz="4" w:space="0"/>
            </w:tcBorders>
            <w:vAlign w:val="center"/>
          </w:tcPr>
          <w:p>
            <w:pPr>
              <w:spacing w:line="240" w:lineRule="auto"/>
              <w:rPr>
                <w:rFonts w:hint="eastAsia" w:cs="宋体"/>
                <w:color w:val="000000"/>
                <w:szCs w:val="24"/>
              </w:rPr>
            </w:pPr>
            <w:r>
              <w:rPr>
                <w:rFonts w:hint="eastAsia" w:cs="宋体"/>
                <w:color w:val="000000"/>
                <w:szCs w:val="24"/>
              </w:rPr>
              <w:t>每次服务完成后，服务人员需在院方规定时间范围内输出《基线检查报告》，报告中详细描述检查的设备范围、内容、问题项，解决建议等。</w:t>
            </w:r>
          </w:p>
        </w:tc>
      </w:tr>
    </w:tbl>
    <w:p>
      <w:pPr>
        <w:pStyle w:val="91"/>
        <w:numPr>
          <w:ilvl w:val="0"/>
          <w:numId w:val="0"/>
        </w:numPr>
        <w:spacing w:line="360" w:lineRule="auto"/>
        <w:ind w:left="420" w:hanging="420" w:hangingChars="175"/>
        <w:rPr>
          <w:rFonts w:hint="eastAsia" w:ascii="宋体" w:hAnsi="宋体"/>
          <w:sz w:val="24"/>
          <w:szCs w:val="24"/>
        </w:rPr>
      </w:pPr>
    </w:p>
    <w:p>
      <w:pPr>
        <w:pStyle w:val="5"/>
        <w:rPr>
          <w:color w:val="000000" w:themeColor="text1"/>
          <w14:textFill>
            <w14:solidFill>
              <w14:schemeClr w14:val="tx1"/>
            </w14:solidFill>
          </w14:textFill>
        </w:rPr>
      </w:pPr>
      <w:r>
        <w:rPr>
          <w:rFonts w:hint="eastAsia"/>
          <w:color w:val="000000" w:themeColor="text1"/>
          <w14:textFill>
            <w14:solidFill>
              <w14:schemeClr w14:val="tx1"/>
            </w14:solidFill>
          </w14:textFill>
        </w:rPr>
        <w:t>主机基线加固服务</w:t>
      </w:r>
    </w:p>
    <w:tbl>
      <w:tblPr>
        <w:tblStyle w:val="33"/>
        <w:tblW w:w="8523" w:type="dxa"/>
        <w:tblInd w:w="0" w:type="dxa"/>
        <w:tblLayout w:type="fixed"/>
        <w:tblCellMar>
          <w:top w:w="0" w:type="dxa"/>
          <w:left w:w="108" w:type="dxa"/>
          <w:bottom w:w="0" w:type="dxa"/>
          <w:right w:w="108" w:type="dxa"/>
        </w:tblCellMar>
      </w:tblPr>
      <w:tblGrid>
        <w:gridCol w:w="837"/>
        <w:gridCol w:w="1778"/>
        <w:gridCol w:w="5908"/>
      </w:tblGrid>
      <w:tr>
        <w:tblPrEx>
          <w:tblLayout w:type="fixed"/>
          <w:tblCellMar>
            <w:top w:w="0" w:type="dxa"/>
            <w:left w:w="108" w:type="dxa"/>
            <w:bottom w:w="0" w:type="dxa"/>
            <w:right w:w="108" w:type="dxa"/>
          </w:tblCellMar>
        </w:tblPrEx>
        <w:trPr>
          <w:trHeight w:val="288" w:hRule="atLeast"/>
        </w:trPr>
        <w:tc>
          <w:tcPr>
            <w:tcW w:w="837" w:type="dxa"/>
            <w:tcBorders>
              <w:top w:val="single" w:color="auto" w:sz="4" w:space="0"/>
              <w:left w:val="single" w:color="auto" w:sz="4" w:space="0"/>
              <w:bottom w:val="single" w:color="auto" w:sz="4" w:space="0"/>
              <w:right w:val="single" w:color="auto" w:sz="4" w:space="0"/>
            </w:tcBorders>
            <w:noWrap/>
            <w:vAlign w:val="center"/>
          </w:tcPr>
          <w:p>
            <w:pPr>
              <w:spacing w:line="240" w:lineRule="auto"/>
              <w:jc w:val="center"/>
              <w:rPr>
                <w:rFonts w:hint="eastAsia" w:cs="宋体"/>
                <w:b/>
                <w:bCs/>
                <w:color w:val="000000"/>
                <w:szCs w:val="24"/>
              </w:rPr>
            </w:pPr>
            <w:r>
              <w:rPr>
                <w:rFonts w:hint="eastAsia" w:cs="宋体"/>
                <w:b/>
                <w:bCs/>
                <w:color w:val="000000"/>
                <w:szCs w:val="24"/>
              </w:rPr>
              <w:t>序号</w:t>
            </w:r>
          </w:p>
        </w:tc>
        <w:tc>
          <w:tcPr>
            <w:tcW w:w="1778" w:type="dxa"/>
            <w:tcBorders>
              <w:top w:val="single" w:color="auto" w:sz="4" w:space="0"/>
              <w:left w:val="nil"/>
              <w:bottom w:val="single" w:color="auto" w:sz="4" w:space="0"/>
              <w:right w:val="single" w:color="auto" w:sz="4" w:space="0"/>
            </w:tcBorders>
            <w:noWrap/>
            <w:vAlign w:val="center"/>
          </w:tcPr>
          <w:p>
            <w:pPr>
              <w:spacing w:line="240" w:lineRule="auto"/>
              <w:jc w:val="center"/>
              <w:rPr>
                <w:rFonts w:hint="eastAsia" w:cs="宋体"/>
                <w:b/>
                <w:bCs/>
                <w:color w:val="000000"/>
                <w:szCs w:val="24"/>
              </w:rPr>
            </w:pPr>
            <w:r>
              <w:rPr>
                <w:rFonts w:hint="eastAsia" w:cs="宋体"/>
                <w:b/>
                <w:bCs/>
                <w:color w:val="000000"/>
                <w:szCs w:val="24"/>
              </w:rPr>
              <w:t>指标项</w:t>
            </w:r>
          </w:p>
        </w:tc>
        <w:tc>
          <w:tcPr>
            <w:tcW w:w="5908" w:type="dxa"/>
            <w:tcBorders>
              <w:top w:val="single" w:color="auto" w:sz="4" w:space="0"/>
              <w:left w:val="nil"/>
              <w:bottom w:val="single" w:color="auto" w:sz="4" w:space="0"/>
              <w:right w:val="single" w:color="auto" w:sz="4" w:space="0"/>
            </w:tcBorders>
            <w:vAlign w:val="center"/>
          </w:tcPr>
          <w:p>
            <w:pPr>
              <w:spacing w:line="240" w:lineRule="auto"/>
              <w:jc w:val="center"/>
              <w:rPr>
                <w:rFonts w:hint="eastAsia" w:cs="宋体"/>
                <w:b/>
                <w:bCs/>
                <w:color w:val="000000"/>
                <w:szCs w:val="24"/>
              </w:rPr>
            </w:pPr>
            <w:r>
              <w:rPr>
                <w:rFonts w:hint="eastAsia" w:cs="宋体"/>
                <w:b/>
                <w:bCs/>
                <w:color w:val="000000"/>
                <w:szCs w:val="24"/>
              </w:rPr>
              <w:t>指标要求</w:t>
            </w:r>
          </w:p>
        </w:tc>
      </w:tr>
      <w:tr>
        <w:tblPrEx>
          <w:tblLayout w:type="fixed"/>
          <w:tblCellMar>
            <w:top w:w="0" w:type="dxa"/>
            <w:left w:w="108" w:type="dxa"/>
            <w:bottom w:w="0" w:type="dxa"/>
            <w:right w:w="108" w:type="dxa"/>
          </w:tblCellMar>
        </w:tblPrEx>
        <w:trPr>
          <w:trHeight w:val="288" w:hRule="atLeast"/>
        </w:trPr>
        <w:tc>
          <w:tcPr>
            <w:tcW w:w="837" w:type="dxa"/>
            <w:tcBorders>
              <w:top w:val="nil"/>
              <w:left w:val="single" w:color="auto" w:sz="4" w:space="0"/>
              <w:bottom w:val="single" w:color="auto" w:sz="4" w:space="0"/>
              <w:right w:val="single" w:color="auto" w:sz="4" w:space="0"/>
            </w:tcBorders>
            <w:noWrap/>
            <w:vAlign w:val="center"/>
          </w:tcPr>
          <w:p>
            <w:pPr>
              <w:spacing w:line="240" w:lineRule="auto"/>
              <w:jc w:val="center"/>
              <w:rPr>
                <w:rFonts w:hint="eastAsia" w:cs="宋体"/>
                <w:color w:val="000000"/>
                <w:szCs w:val="24"/>
              </w:rPr>
            </w:pPr>
            <w:r>
              <w:rPr>
                <w:rFonts w:hint="eastAsia" w:cs="宋体"/>
                <w:color w:val="000000"/>
                <w:szCs w:val="24"/>
              </w:rPr>
              <w:t>1</w:t>
            </w:r>
          </w:p>
        </w:tc>
        <w:tc>
          <w:tcPr>
            <w:tcW w:w="1778" w:type="dxa"/>
            <w:tcBorders>
              <w:top w:val="nil"/>
              <w:left w:val="nil"/>
              <w:bottom w:val="single" w:color="auto" w:sz="4" w:space="0"/>
              <w:right w:val="single" w:color="auto" w:sz="4" w:space="0"/>
            </w:tcBorders>
            <w:noWrap/>
            <w:vAlign w:val="center"/>
          </w:tcPr>
          <w:p>
            <w:pPr>
              <w:spacing w:line="240" w:lineRule="auto"/>
              <w:jc w:val="center"/>
              <w:rPr>
                <w:rFonts w:hint="eastAsia" w:cs="宋体"/>
                <w:color w:val="000000"/>
                <w:szCs w:val="24"/>
              </w:rPr>
            </w:pPr>
            <w:r>
              <w:rPr>
                <w:rFonts w:hint="eastAsia" w:cs="宋体"/>
                <w:color w:val="000000"/>
                <w:szCs w:val="24"/>
              </w:rPr>
              <w:t>频次</w:t>
            </w:r>
          </w:p>
        </w:tc>
        <w:tc>
          <w:tcPr>
            <w:tcW w:w="5908" w:type="dxa"/>
            <w:tcBorders>
              <w:top w:val="nil"/>
              <w:left w:val="nil"/>
              <w:bottom w:val="single" w:color="auto" w:sz="4" w:space="0"/>
              <w:right w:val="single" w:color="auto" w:sz="4" w:space="0"/>
            </w:tcBorders>
            <w:vAlign w:val="center"/>
          </w:tcPr>
          <w:p>
            <w:pPr>
              <w:spacing w:line="240" w:lineRule="auto"/>
              <w:rPr>
                <w:rFonts w:hint="eastAsia" w:cs="宋体"/>
                <w:color w:val="000000"/>
                <w:szCs w:val="24"/>
              </w:rPr>
            </w:pPr>
            <w:r>
              <w:rPr>
                <w:rFonts w:hint="eastAsia" w:cs="宋体"/>
                <w:color w:val="000000"/>
                <w:szCs w:val="24"/>
              </w:rPr>
              <w:t>院内主要设备主机，每个1次，每年不超</w:t>
            </w:r>
            <w:r>
              <w:rPr>
                <w:rFonts w:hint="eastAsia" w:cs="宋体"/>
                <w:color w:val="000000"/>
                <w:szCs w:val="24"/>
                <w:lang w:val="en-US" w:eastAsia="zh-CN"/>
              </w:rPr>
              <w:t>5</w:t>
            </w:r>
            <w:r>
              <w:rPr>
                <w:rFonts w:hint="eastAsia" w:cs="宋体"/>
                <w:color w:val="000000"/>
                <w:szCs w:val="24"/>
              </w:rPr>
              <w:t>00个</w:t>
            </w:r>
          </w:p>
        </w:tc>
      </w:tr>
      <w:tr>
        <w:tblPrEx>
          <w:tblLayout w:type="fixed"/>
          <w:tblCellMar>
            <w:top w:w="0" w:type="dxa"/>
            <w:left w:w="108" w:type="dxa"/>
            <w:bottom w:w="0" w:type="dxa"/>
            <w:right w:w="108" w:type="dxa"/>
          </w:tblCellMar>
        </w:tblPrEx>
        <w:trPr>
          <w:trHeight w:val="4896" w:hRule="atLeast"/>
        </w:trPr>
        <w:tc>
          <w:tcPr>
            <w:tcW w:w="837" w:type="dxa"/>
            <w:tcBorders>
              <w:top w:val="nil"/>
              <w:left w:val="single" w:color="auto" w:sz="4" w:space="0"/>
              <w:bottom w:val="single" w:color="auto" w:sz="4" w:space="0"/>
              <w:right w:val="single" w:color="auto" w:sz="4" w:space="0"/>
            </w:tcBorders>
            <w:noWrap/>
            <w:vAlign w:val="center"/>
          </w:tcPr>
          <w:p>
            <w:pPr>
              <w:spacing w:line="240" w:lineRule="auto"/>
              <w:jc w:val="center"/>
              <w:rPr>
                <w:rFonts w:hint="eastAsia" w:cs="宋体"/>
                <w:color w:val="000000"/>
                <w:szCs w:val="24"/>
              </w:rPr>
            </w:pPr>
            <w:r>
              <w:rPr>
                <w:rFonts w:hint="eastAsia" w:cs="宋体"/>
                <w:color w:val="000000"/>
                <w:szCs w:val="24"/>
              </w:rPr>
              <w:t>2</w:t>
            </w:r>
          </w:p>
        </w:tc>
        <w:tc>
          <w:tcPr>
            <w:tcW w:w="1778" w:type="dxa"/>
            <w:tcBorders>
              <w:top w:val="nil"/>
              <w:left w:val="nil"/>
              <w:bottom w:val="single" w:color="auto" w:sz="4" w:space="0"/>
              <w:right w:val="single" w:color="auto" w:sz="4" w:space="0"/>
            </w:tcBorders>
            <w:noWrap/>
            <w:vAlign w:val="center"/>
          </w:tcPr>
          <w:p>
            <w:pPr>
              <w:spacing w:line="240" w:lineRule="auto"/>
              <w:jc w:val="center"/>
              <w:rPr>
                <w:rFonts w:hint="eastAsia" w:cs="宋体"/>
                <w:color w:val="000000"/>
                <w:szCs w:val="24"/>
              </w:rPr>
            </w:pPr>
            <w:r>
              <w:rPr>
                <w:rFonts w:hint="eastAsia" w:cs="宋体"/>
                <w:color w:val="000000"/>
                <w:szCs w:val="24"/>
              </w:rPr>
              <w:t>服务要求</w:t>
            </w:r>
          </w:p>
        </w:tc>
        <w:tc>
          <w:tcPr>
            <w:tcW w:w="5908" w:type="dxa"/>
            <w:tcBorders>
              <w:top w:val="nil"/>
              <w:left w:val="nil"/>
              <w:bottom w:val="single" w:color="auto" w:sz="4" w:space="0"/>
              <w:right w:val="single" w:color="auto" w:sz="4" w:space="0"/>
            </w:tcBorders>
            <w:vAlign w:val="center"/>
          </w:tcPr>
          <w:p>
            <w:pPr>
              <w:spacing w:line="240" w:lineRule="auto"/>
              <w:rPr>
                <w:rFonts w:hint="eastAsia" w:cs="宋体"/>
                <w:color w:val="000000"/>
                <w:szCs w:val="24"/>
              </w:rPr>
            </w:pPr>
            <w:r>
              <w:rPr>
                <w:rFonts w:hint="eastAsia" w:cs="宋体"/>
                <w:color w:val="000000"/>
                <w:szCs w:val="24"/>
              </w:rPr>
              <w:t>根据基线核查中发现的问题，对相应设备进行基线加固，包括网络设备、安全设备、主机操作系统、中间件、数据库。基线整改加固主要关注帐号口令、访问控制、设备防护、安全审计等问题。</w:t>
            </w:r>
            <w:r>
              <w:rPr>
                <w:rFonts w:hint="eastAsia" w:cs="宋体"/>
                <w:color w:val="000000"/>
                <w:szCs w:val="24"/>
              </w:rPr>
              <w:br w:type="textWrapping"/>
            </w:r>
            <w:r>
              <w:rPr>
                <w:rFonts w:hint="eastAsia" w:cs="宋体"/>
                <w:color w:val="000000"/>
                <w:szCs w:val="24"/>
              </w:rPr>
              <w:t>1.账号口令：管理用户身份标识应具有不易被冒用的特点，口令应有复杂度要求并定期更换。</w:t>
            </w:r>
            <w:r>
              <w:rPr>
                <w:rFonts w:hint="eastAsia" w:cs="宋体"/>
                <w:color w:val="000000"/>
                <w:szCs w:val="24"/>
              </w:rPr>
              <w:br w:type="textWrapping"/>
            </w:r>
            <w:r>
              <w:rPr>
                <w:rFonts w:hint="eastAsia" w:cs="宋体"/>
                <w:color w:val="000000"/>
                <w:szCs w:val="24"/>
              </w:rPr>
              <w:t>2.访问控制：应根据管理用户的角色分配权限，实现管理用户的权限分离，仅授予管理用户所需的最小权限。</w:t>
            </w:r>
            <w:r>
              <w:rPr>
                <w:rFonts w:hint="eastAsia" w:cs="宋体"/>
                <w:color w:val="000000"/>
                <w:szCs w:val="24"/>
              </w:rPr>
              <w:br w:type="textWrapping"/>
            </w:r>
            <w:r>
              <w:rPr>
                <w:rFonts w:hint="eastAsia" w:cs="宋体"/>
                <w:color w:val="000000"/>
                <w:szCs w:val="24"/>
              </w:rPr>
              <w:t>3.安全审计：应保证无法单独中断审计进程，无法删除、修改或覆盖审计记录；</w:t>
            </w:r>
            <w:r>
              <w:rPr>
                <w:rFonts w:hint="eastAsia" w:cs="宋体"/>
                <w:color w:val="000000"/>
                <w:szCs w:val="24"/>
              </w:rPr>
              <w:br w:type="textWrapping"/>
            </w:r>
            <w:r>
              <w:rPr>
                <w:rFonts w:hint="eastAsia" w:cs="宋体"/>
                <w:color w:val="000000"/>
                <w:szCs w:val="24"/>
              </w:rPr>
              <w:t>4.审计记录的内容至少应包括事件的日期、时间、发起者信息、类型、描述和结果等；</w:t>
            </w:r>
            <w:r>
              <w:rPr>
                <w:rFonts w:hint="eastAsia" w:cs="宋体"/>
                <w:color w:val="000000"/>
                <w:szCs w:val="24"/>
              </w:rPr>
              <w:br w:type="textWrapping"/>
            </w:r>
            <w:r>
              <w:rPr>
                <w:rFonts w:hint="eastAsia" w:cs="宋体"/>
                <w:color w:val="000000"/>
                <w:szCs w:val="24"/>
              </w:rPr>
              <w:t>5.应提供对审计记录数据进行统计、查询、分析及生成审计报表的功能。</w:t>
            </w:r>
            <w:r>
              <w:rPr>
                <w:rFonts w:hint="eastAsia" w:cs="宋体"/>
                <w:color w:val="000000"/>
                <w:szCs w:val="24"/>
              </w:rPr>
              <w:br w:type="textWrapping"/>
            </w:r>
            <w:r>
              <w:rPr>
                <w:rFonts w:hint="eastAsia" w:cs="宋体"/>
                <w:color w:val="000000"/>
                <w:szCs w:val="24"/>
              </w:rPr>
              <w:t>6.设备防护：应具有登录失败处理功能，可采取结束会话、限制非法登录次数和当网络登录连接超时自动退出等措施；</w:t>
            </w:r>
            <w:r>
              <w:rPr>
                <w:rFonts w:hint="eastAsia" w:cs="宋体"/>
                <w:color w:val="000000"/>
                <w:szCs w:val="24"/>
              </w:rPr>
              <w:br w:type="textWrapping"/>
            </w:r>
            <w:r>
              <w:rPr>
                <w:rFonts w:hint="eastAsia" w:cs="宋体"/>
                <w:color w:val="000000"/>
                <w:szCs w:val="24"/>
              </w:rPr>
              <w:t>7.当对网络设备进行远程管理时，应采取必要措施防止鉴别信息在网络传输过程中被窃听。</w:t>
            </w:r>
          </w:p>
        </w:tc>
      </w:tr>
      <w:tr>
        <w:tblPrEx>
          <w:tblLayout w:type="fixed"/>
          <w:tblCellMar>
            <w:top w:w="0" w:type="dxa"/>
            <w:left w:w="108" w:type="dxa"/>
            <w:bottom w:w="0" w:type="dxa"/>
            <w:right w:w="108" w:type="dxa"/>
          </w:tblCellMar>
        </w:tblPrEx>
        <w:trPr>
          <w:trHeight w:val="841" w:hRule="atLeast"/>
        </w:trPr>
        <w:tc>
          <w:tcPr>
            <w:tcW w:w="837" w:type="dxa"/>
            <w:tcBorders>
              <w:top w:val="nil"/>
              <w:left w:val="single" w:color="auto" w:sz="4" w:space="0"/>
              <w:bottom w:val="single" w:color="auto" w:sz="4" w:space="0"/>
              <w:right w:val="single" w:color="auto" w:sz="4" w:space="0"/>
            </w:tcBorders>
            <w:noWrap/>
            <w:vAlign w:val="center"/>
          </w:tcPr>
          <w:p>
            <w:pPr>
              <w:spacing w:line="240" w:lineRule="auto"/>
              <w:jc w:val="center"/>
              <w:rPr>
                <w:rFonts w:hint="eastAsia" w:cs="宋体"/>
                <w:color w:val="000000"/>
                <w:szCs w:val="24"/>
              </w:rPr>
            </w:pPr>
            <w:r>
              <w:rPr>
                <w:rFonts w:hint="eastAsia" w:cs="宋体"/>
                <w:color w:val="000000"/>
                <w:szCs w:val="24"/>
              </w:rPr>
              <w:t>3</w:t>
            </w:r>
          </w:p>
        </w:tc>
        <w:tc>
          <w:tcPr>
            <w:tcW w:w="1778" w:type="dxa"/>
            <w:tcBorders>
              <w:top w:val="nil"/>
              <w:left w:val="nil"/>
              <w:bottom w:val="single" w:color="auto" w:sz="4" w:space="0"/>
              <w:right w:val="single" w:color="auto" w:sz="4" w:space="0"/>
            </w:tcBorders>
            <w:noWrap/>
            <w:vAlign w:val="center"/>
          </w:tcPr>
          <w:p>
            <w:pPr>
              <w:spacing w:line="240" w:lineRule="auto"/>
              <w:jc w:val="center"/>
              <w:rPr>
                <w:rFonts w:hint="eastAsia" w:cs="宋体"/>
                <w:color w:val="000000"/>
                <w:szCs w:val="24"/>
              </w:rPr>
            </w:pPr>
            <w:r>
              <w:rPr>
                <w:rFonts w:hint="eastAsia" w:cs="宋体"/>
                <w:color w:val="000000"/>
                <w:szCs w:val="24"/>
              </w:rPr>
              <w:t>服务内容</w:t>
            </w:r>
          </w:p>
        </w:tc>
        <w:tc>
          <w:tcPr>
            <w:tcW w:w="5908" w:type="dxa"/>
            <w:tcBorders>
              <w:top w:val="nil"/>
              <w:left w:val="nil"/>
              <w:bottom w:val="single" w:color="auto" w:sz="4" w:space="0"/>
              <w:right w:val="single" w:color="auto" w:sz="4" w:space="0"/>
            </w:tcBorders>
            <w:vAlign w:val="center"/>
          </w:tcPr>
          <w:p>
            <w:pPr>
              <w:spacing w:line="240" w:lineRule="auto"/>
              <w:rPr>
                <w:rFonts w:hint="eastAsia" w:cs="宋体"/>
                <w:color w:val="000000"/>
                <w:szCs w:val="24"/>
              </w:rPr>
            </w:pPr>
            <w:r>
              <w:rPr>
                <w:rFonts w:hint="eastAsia" w:cs="宋体"/>
                <w:color w:val="000000"/>
                <w:szCs w:val="24"/>
              </w:rPr>
              <w:t>具体基线加固的内容包括但不限于：</w:t>
            </w:r>
          </w:p>
          <w:p>
            <w:pPr>
              <w:pStyle w:val="55"/>
              <w:numPr>
                <w:ilvl w:val="0"/>
                <w:numId w:val="6"/>
              </w:numPr>
              <w:spacing w:line="240" w:lineRule="auto"/>
              <w:rPr>
                <w:rFonts w:cs="宋体"/>
                <w:color w:val="000000"/>
                <w:szCs w:val="24"/>
              </w:rPr>
            </w:pPr>
            <w:r>
              <w:rPr>
                <w:rFonts w:hint="eastAsia" w:cs="宋体"/>
                <w:color w:val="000000"/>
                <w:szCs w:val="24"/>
              </w:rPr>
              <w:t>网络设备安全加固：</w:t>
            </w:r>
          </w:p>
          <w:p>
            <w:pPr>
              <w:spacing w:line="240" w:lineRule="auto"/>
              <w:rPr>
                <w:rFonts w:hint="eastAsia" w:cs="宋体"/>
                <w:color w:val="000000"/>
                <w:szCs w:val="24"/>
              </w:rPr>
            </w:pPr>
            <w:r>
              <w:rPr>
                <w:rFonts w:hint="eastAsia" w:cs="宋体"/>
                <w:color w:val="000000"/>
                <w:szCs w:val="24"/>
              </w:rPr>
              <w:t>1. OS升级</w:t>
            </w:r>
            <w:r>
              <w:rPr>
                <w:rFonts w:hint="eastAsia" w:cs="宋体"/>
                <w:color w:val="000000"/>
                <w:szCs w:val="24"/>
              </w:rPr>
              <w:br w:type="textWrapping"/>
            </w:r>
            <w:r>
              <w:rPr>
                <w:rFonts w:hint="eastAsia" w:cs="宋体"/>
                <w:color w:val="000000"/>
                <w:szCs w:val="24"/>
              </w:rPr>
              <w:t>2. 帐号和口令管理</w:t>
            </w:r>
            <w:r>
              <w:rPr>
                <w:rFonts w:hint="eastAsia" w:cs="宋体"/>
                <w:color w:val="000000"/>
                <w:szCs w:val="24"/>
              </w:rPr>
              <w:br w:type="textWrapping"/>
            </w:r>
            <w:r>
              <w:rPr>
                <w:rFonts w:hint="eastAsia" w:cs="宋体"/>
                <w:color w:val="000000"/>
                <w:szCs w:val="24"/>
              </w:rPr>
              <w:t>3. 认证和授权策略调整</w:t>
            </w:r>
            <w:r>
              <w:rPr>
                <w:rFonts w:hint="eastAsia" w:cs="宋体"/>
                <w:color w:val="000000"/>
                <w:szCs w:val="24"/>
              </w:rPr>
              <w:br w:type="textWrapping"/>
            </w:r>
            <w:r>
              <w:rPr>
                <w:rFonts w:hint="eastAsia" w:cs="宋体"/>
                <w:color w:val="000000"/>
                <w:szCs w:val="24"/>
              </w:rPr>
              <w:t>4. 网络与服务加固</w:t>
            </w:r>
            <w:r>
              <w:rPr>
                <w:rFonts w:hint="eastAsia" w:cs="宋体"/>
                <w:color w:val="000000"/>
                <w:szCs w:val="24"/>
              </w:rPr>
              <w:br w:type="textWrapping"/>
            </w:r>
            <w:r>
              <w:rPr>
                <w:rFonts w:hint="eastAsia" w:cs="宋体"/>
                <w:color w:val="000000"/>
                <w:szCs w:val="24"/>
              </w:rPr>
              <w:t>5. 访问控制策略增强</w:t>
            </w:r>
            <w:r>
              <w:rPr>
                <w:rFonts w:hint="eastAsia" w:cs="宋体"/>
                <w:color w:val="000000"/>
                <w:szCs w:val="24"/>
              </w:rPr>
              <w:br w:type="textWrapping"/>
            </w:r>
            <w:r>
              <w:rPr>
                <w:rFonts w:hint="eastAsia" w:cs="宋体"/>
                <w:color w:val="000000"/>
                <w:szCs w:val="24"/>
              </w:rPr>
              <w:t>6. 通讯协议、路由协议加固</w:t>
            </w:r>
            <w:r>
              <w:rPr>
                <w:rFonts w:hint="eastAsia" w:cs="宋体"/>
                <w:color w:val="000000"/>
                <w:szCs w:val="24"/>
              </w:rPr>
              <w:br w:type="textWrapping"/>
            </w:r>
            <w:r>
              <w:rPr>
                <w:rFonts w:hint="eastAsia" w:cs="宋体"/>
                <w:color w:val="000000"/>
                <w:szCs w:val="24"/>
              </w:rPr>
              <w:t>7. 日志审核策略增强</w:t>
            </w:r>
            <w:r>
              <w:rPr>
                <w:rFonts w:hint="eastAsia" w:cs="宋体"/>
                <w:color w:val="000000"/>
                <w:szCs w:val="24"/>
              </w:rPr>
              <w:br w:type="textWrapping"/>
            </w:r>
            <w:r>
              <w:rPr>
                <w:rFonts w:hint="eastAsia" w:cs="宋体"/>
                <w:color w:val="000000"/>
                <w:szCs w:val="24"/>
              </w:rPr>
              <w:t>8. 设备其他安全配置增强</w:t>
            </w:r>
          </w:p>
          <w:p>
            <w:pPr>
              <w:pStyle w:val="55"/>
              <w:numPr>
                <w:ilvl w:val="0"/>
                <w:numId w:val="6"/>
              </w:numPr>
              <w:spacing w:line="240" w:lineRule="auto"/>
              <w:rPr>
                <w:rFonts w:cs="宋体"/>
                <w:color w:val="000000"/>
                <w:szCs w:val="24"/>
              </w:rPr>
            </w:pPr>
            <w:r>
              <w:rPr>
                <w:rFonts w:hint="eastAsia" w:cs="宋体"/>
                <w:color w:val="000000"/>
                <w:szCs w:val="24"/>
              </w:rPr>
              <w:t>主机操作系统安全加固：</w:t>
            </w:r>
          </w:p>
          <w:p>
            <w:pPr>
              <w:spacing w:line="240" w:lineRule="auto"/>
              <w:rPr>
                <w:rFonts w:hint="eastAsia" w:cs="宋体"/>
                <w:color w:val="000000"/>
                <w:szCs w:val="24"/>
              </w:rPr>
            </w:pPr>
            <w:r>
              <w:rPr>
                <w:rFonts w:hint="eastAsia" w:cs="宋体"/>
                <w:color w:val="000000"/>
                <w:szCs w:val="24"/>
              </w:rPr>
              <w:t>1. 帐号和口令管理</w:t>
            </w:r>
            <w:r>
              <w:rPr>
                <w:rFonts w:hint="eastAsia" w:cs="宋体"/>
                <w:color w:val="000000"/>
                <w:szCs w:val="24"/>
              </w:rPr>
              <w:br w:type="textWrapping"/>
            </w:r>
            <w:r>
              <w:rPr>
                <w:rFonts w:hint="eastAsia" w:cs="宋体"/>
                <w:color w:val="000000"/>
                <w:szCs w:val="24"/>
              </w:rPr>
              <w:t>2. 认证、授权策略调整</w:t>
            </w:r>
            <w:r>
              <w:rPr>
                <w:rFonts w:hint="eastAsia" w:cs="宋体"/>
                <w:color w:val="000000"/>
                <w:szCs w:val="24"/>
              </w:rPr>
              <w:br w:type="textWrapping"/>
            </w:r>
            <w:r>
              <w:rPr>
                <w:rFonts w:hint="eastAsia" w:cs="宋体"/>
                <w:color w:val="000000"/>
                <w:szCs w:val="24"/>
              </w:rPr>
              <w:t>3. 网络与服务、进程和启动加固</w:t>
            </w:r>
            <w:r>
              <w:rPr>
                <w:rFonts w:hint="eastAsia" w:cs="宋体"/>
                <w:color w:val="000000"/>
                <w:szCs w:val="24"/>
              </w:rPr>
              <w:br w:type="textWrapping"/>
            </w:r>
            <w:r>
              <w:rPr>
                <w:rFonts w:hint="eastAsia" w:cs="宋体"/>
                <w:color w:val="000000"/>
                <w:szCs w:val="24"/>
              </w:rPr>
              <w:t>4. 文件系统权限增强</w:t>
            </w:r>
            <w:r>
              <w:rPr>
                <w:rFonts w:hint="eastAsia" w:cs="宋体"/>
                <w:color w:val="000000"/>
                <w:szCs w:val="24"/>
              </w:rPr>
              <w:br w:type="textWrapping"/>
            </w:r>
            <w:r>
              <w:rPr>
                <w:rFonts w:hint="eastAsia" w:cs="宋体"/>
                <w:color w:val="000000"/>
                <w:szCs w:val="24"/>
              </w:rPr>
              <w:t>5. 访问控制管理</w:t>
            </w:r>
            <w:r>
              <w:rPr>
                <w:rFonts w:hint="eastAsia" w:cs="宋体"/>
                <w:color w:val="000000"/>
                <w:szCs w:val="24"/>
              </w:rPr>
              <w:br w:type="textWrapping"/>
            </w:r>
            <w:r>
              <w:rPr>
                <w:rFonts w:hint="eastAsia" w:cs="宋体"/>
                <w:color w:val="000000"/>
                <w:szCs w:val="24"/>
              </w:rPr>
              <w:t>6. 通讯协议加固</w:t>
            </w:r>
            <w:r>
              <w:rPr>
                <w:rFonts w:hint="eastAsia" w:cs="宋体"/>
                <w:color w:val="000000"/>
                <w:szCs w:val="24"/>
              </w:rPr>
              <w:br w:type="textWrapping"/>
            </w:r>
            <w:r>
              <w:rPr>
                <w:rFonts w:hint="eastAsia" w:cs="宋体"/>
                <w:color w:val="000000"/>
                <w:szCs w:val="24"/>
              </w:rPr>
              <w:t>7. 日志审核功能增强</w:t>
            </w:r>
          </w:p>
          <w:p>
            <w:pPr>
              <w:pStyle w:val="55"/>
              <w:numPr>
                <w:ilvl w:val="0"/>
                <w:numId w:val="6"/>
              </w:numPr>
              <w:spacing w:line="240" w:lineRule="auto"/>
              <w:rPr>
                <w:rFonts w:cs="宋体"/>
                <w:color w:val="000000"/>
                <w:szCs w:val="24"/>
              </w:rPr>
            </w:pPr>
            <w:r>
              <w:rPr>
                <w:rFonts w:hint="eastAsia" w:cs="宋体"/>
                <w:color w:val="000000"/>
                <w:szCs w:val="24"/>
              </w:rPr>
              <w:t>数据库安全加固：</w:t>
            </w:r>
          </w:p>
          <w:p>
            <w:pPr>
              <w:spacing w:line="240" w:lineRule="auto"/>
              <w:rPr>
                <w:rFonts w:hint="eastAsia" w:cs="宋体"/>
                <w:color w:val="000000"/>
                <w:szCs w:val="24"/>
              </w:rPr>
            </w:pPr>
            <w:r>
              <w:rPr>
                <w:rFonts w:hint="eastAsia" w:cs="宋体"/>
                <w:color w:val="000000"/>
                <w:szCs w:val="24"/>
              </w:rPr>
              <w:t>1. 帐号和口令管理</w:t>
            </w:r>
            <w:r>
              <w:rPr>
                <w:rFonts w:hint="eastAsia" w:cs="宋体"/>
                <w:color w:val="000000"/>
                <w:szCs w:val="24"/>
              </w:rPr>
              <w:br w:type="textWrapping"/>
            </w:r>
            <w:r>
              <w:rPr>
                <w:rFonts w:hint="eastAsia" w:cs="宋体"/>
                <w:color w:val="000000"/>
                <w:szCs w:val="24"/>
              </w:rPr>
              <w:t>2. 认证、授权策略调整</w:t>
            </w:r>
            <w:r>
              <w:rPr>
                <w:rFonts w:hint="eastAsia" w:cs="宋体"/>
                <w:color w:val="000000"/>
                <w:szCs w:val="24"/>
              </w:rPr>
              <w:br w:type="textWrapping"/>
            </w:r>
            <w:r>
              <w:rPr>
                <w:rFonts w:hint="eastAsia" w:cs="宋体"/>
                <w:color w:val="000000"/>
                <w:szCs w:val="24"/>
              </w:rPr>
              <w:t>3. 访问控制管理</w:t>
            </w:r>
            <w:r>
              <w:rPr>
                <w:rFonts w:hint="eastAsia" w:cs="宋体"/>
                <w:color w:val="000000"/>
                <w:szCs w:val="24"/>
              </w:rPr>
              <w:br w:type="textWrapping"/>
            </w:r>
            <w:r>
              <w:rPr>
                <w:rFonts w:hint="eastAsia" w:cs="宋体"/>
                <w:color w:val="000000"/>
                <w:szCs w:val="24"/>
              </w:rPr>
              <w:t>4. 通讯协议加固</w:t>
            </w:r>
            <w:r>
              <w:rPr>
                <w:rFonts w:hint="eastAsia" w:cs="宋体"/>
                <w:color w:val="000000"/>
                <w:szCs w:val="24"/>
              </w:rPr>
              <w:br w:type="textWrapping"/>
            </w:r>
            <w:r>
              <w:rPr>
                <w:rFonts w:hint="eastAsia" w:cs="宋体"/>
                <w:color w:val="000000"/>
                <w:szCs w:val="24"/>
              </w:rPr>
              <w:t>5. 日志审核功能增强</w:t>
            </w:r>
            <w:r>
              <w:rPr>
                <w:rFonts w:hint="eastAsia" w:cs="宋体"/>
                <w:color w:val="000000"/>
                <w:szCs w:val="24"/>
              </w:rPr>
              <w:br w:type="textWrapping"/>
            </w:r>
            <w:r>
              <w:rPr>
                <w:rFonts w:hint="eastAsia" w:cs="宋体"/>
                <w:color w:val="000000"/>
                <w:szCs w:val="24"/>
              </w:rPr>
              <w:t>6. 其他安全配置增强</w:t>
            </w:r>
          </w:p>
        </w:tc>
      </w:tr>
      <w:tr>
        <w:tblPrEx>
          <w:tblLayout w:type="fixed"/>
          <w:tblCellMar>
            <w:top w:w="0" w:type="dxa"/>
            <w:left w:w="108" w:type="dxa"/>
            <w:bottom w:w="0" w:type="dxa"/>
            <w:right w:w="108" w:type="dxa"/>
          </w:tblCellMar>
        </w:tblPrEx>
        <w:trPr>
          <w:trHeight w:val="576" w:hRule="atLeast"/>
        </w:trPr>
        <w:tc>
          <w:tcPr>
            <w:tcW w:w="837" w:type="dxa"/>
            <w:tcBorders>
              <w:top w:val="nil"/>
              <w:left w:val="single" w:color="auto" w:sz="4" w:space="0"/>
              <w:bottom w:val="single" w:color="auto" w:sz="4" w:space="0"/>
              <w:right w:val="single" w:color="auto" w:sz="4" w:space="0"/>
            </w:tcBorders>
            <w:noWrap/>
            <w:vAlign w:val="center"/>
          </w:tcPr>
          <w:p>
            <w:pPr>
              <w:spacing w:line="240" w:lineRule="auto"/>
              <w:jc w:val="center"/>
              <w:rPr>
                <w:rFonts w:hint="eastAsia" w:cs="宋体"/>
                <w:color w:val="000000"/>
                <w:szCs w:val="24"/>
              </w:rPr>
            </w:pPr>
            <w:r>
              <w:rPr>
                <w:rFonts w:hint="eastAsia" w:cs="宋体"/>
                <w:color w:val="000000"/>
                <w:szCs w:val="24"/>
              </w:rPr>
              <w:t>4</w:t>
            </w:r>
          </w:p>
        </w:tc>
        <w:tc>
          <w:tcPr>
            <w:tcW w:w="1778" w:type="dxa"/>
            <w:tcBorders>
              <w:top w:val="nil"/>
              <w:left w:val="nil"/>
              <w:bottom w:val="single" w:color="auto" w:sz="4" w:space="0"/>
              <w:right w:val="single" w:color="auto" w:sz="4" w:space="0"/>
            </w:tcBorders>
            <w:noWrap/>
            <w:vAlign w:val="center"/>
          </w:tcPr>
          <w:p>
            <w:pPr>
              <w:spacing w:line="240" w:lineRule="auto"/>
              <w:jc w:val="center"/>
              <w:rPr>
                <w:rFonts w:hint="eastAsia" w:cs="宋体"/>
                <w:color w:val="000000"/>
                <w:szCs w:val="24"/>
              </w:rPr>
            </w:pPr>
            <w:r>
              <w:rPr>
                <w:rFonts w:hint="eastAsia" w:cs="宋体"/>
                <w:color w:val="000000"/>
                <w:szCs w:val="24"/>
              </w:rPr>
              <w:t>服务交付</w:t>
            </w:r>
          </w:p>
        </w:tc>
        <w:tc>
          <w:tcPr>
            <w:tcW w:w="5908" w:type="dxa"/>
            <w:tcBorders>
              <w:top w:val="nil"/>
              <w:left w:val="nil"/>
              <w:bottom w:val="single" w:color="auto" w:sz="4" w:space="0"/>
              <w:right w:val="single" w:color="auto" w:sz="4" w:space="0"/>
            </w:tcBorders>
            <w:vAlign w:val="center"/>
          </w:tcPr>
          <w:p>
            <w:pPr>
              <w:spacing w:line="240" w:lineRule="auto"/>
              <w:rPr>
                <w:rFonts w:hint="eastAsia" w:cs="宋体"/>
                <w:color w:val="000000"/>
                <w:szCs w:val="24"/>
              </w:rPr>
            </w:pPr>
            <w:r>
              <w:rPr>
                <w:rFonts w:hint="eastAsia" w:cs="宋体"/>
                <w:color w:val="000000"/>
                <w:szCs w:val="24"/>
              </w:rPr>
              <w:t>服务完成后，服务人员需在院方规定时间范围内输出《主机基线加固服务报告》，报告中详细描述加固的主机范围、加固措施等内容。</w:t>
            </w:r>
          </w:p>
        </w:tc>
      </w:tr>
    </w:tbl>
    <w:p>
      <w:pPr>
        <w:rPr>
          <w:rFonts w:hint="eastAsia"/>
          <w:szCs w:val="24"/>
        </w:rPr>
      </w:pPr>
    </w:p>
    <w:p>
      <w:pPr>
        <w:pStyle w:val="5"/>
        <w:rPr>
          <w:color w:val="000000" w:themeColor="text1"/>
          <w14:textFill>
            <w14:solidFill>
              <w14:schemeClr w14:val="tx1"/>
            </w14:solidFill>
          </w14:textFill>
        </w:rPr>
      </w:pPr>
      <w:r>
        <w:rPr>
          <w:rFonts w:hint="eastAsia"/>
          <w:color w:val="000000" w:themeColor="text1"/>
          <w14:textFill>
            <w14:solidFill>
              <w14:schemeClr w14:val="tx1"/>
            </w14:solidFill>
          </w14:textFill>
        </w:rPr>
        <w:t>系统漏洞扫描服务</w:t>
      </w:r>
    </w:p>
    <w:tbl>
      <w:tblPr>
        <w:tblStyle w:val="33"/>
        <w:tblW w:w="8523" w:type="dxa"/>
        <w:tblInd w:w="0" w:type="dxa"/>
        <w:tblLayout w:type="fixed"/>
        <w:tblCellMar>
          <w:top w:w="0" w:type="dxa"/>
          <w:left w:w="108" w:type="dxa"/>
          <w:bottom w:w="0" w:type="dxa"/>
          <w:right w:w="108" w:type="dxa"/>
        </w:tblCellMar>
      </w:tblPr>
      <w:tblGrid>
        <w:gridCol w:w="837"/>
        <w:gridCol w:w="1778"/>
        <w:gridCol w:w="5908"/>
      </w:tblGrid>
      <w:tr>
        <w:tblPrEx>
          <w:tblLayout w:type="fixed"/>
          <w:tblCellMar>
            <w:top w:w="0" w:type="dxa"/>
            <w:left w:w="108" w:type="dxa"/>
            <w:bottom w:w="0" w:type="dxa"/>
            <w:right w:w="108" w:type="dxa"/>
          </w:tblCellMar>
        </w:tblPrEx>
        <w:trPr>
          <w:trHeight w:val="288" w:hRule="atLeast"/>
        </w:trPr>
        <w:tc>
          <w:tcPr>
            <w:tcW w:w="837" w:type="dxa"/>
            <w:tcBorders>
              <w:top w:val="single" w:color="auto" w:sz="4" w:space="0"/>
              <w:left w:val="single" w:color="auto" w:sz="4" w:space="0"/>
              <w:bottom w:val="single" w:color="auto" w:sz="4" w:space="0"/>
              <w:right w:val="single" w:color="auto" w:sz="4" w:space="0"/>
            </w:tcBorders>
            <w:noWrap/>
            <w:vAlign w:val="center"/>
          </w:tcPr>
          <w:p>
            <w:pPr>
              <w:spacing w:line="240" w:lineRule="auto"/>
              <w:jc w:val="center"/>
              <w:rPr>
                <w:rFonts w:hint="eastAsia" w:cs="宋体"/>
                <w:b/>
                <w:bCs/>
                <w:color w:val="000000"/>
                <w:szCs w:val="24"/>
              </w:rPr>
            </w:pPr>
            <w:r>
              <w:rPr>
                <w:rFonts w:hint="eastAsia" w:cs="宋体"/>
                <w:b/>
                <w:bCs/>
                <w:color w:val="000000"/>
                <w:szCs w:val="24"/>
              </w:rPr>
              <w:t>序号</w:t>
            </w:r>
          </w:p>
        </w:tc>
        <w:tc>
          <w:tcPr>
            <w:tcW w:w="1778" w:type="dxa"/>
            <w:tcBorders>
              <w:top w:val="single" w:color="auto" w:sz="4" w:space="0"/>
              <w:left w:val="nil"/>
              <w:bottom w:val="single" w:color="auto" w:sz="4" w:space="0"/>
              <w:right w:val="single" w:color="auto" w:sz="4" w:space="0"/>
            </w:tcBorders>
            <w:noWrap/>
            <w:vAlign w:val="center"/>
          </w:tcPr>
          <w:p>
            <w:pPr>
              <w:spacing w:line="240" w:lineRule="auto"/>
              <w:jc w:val="center"/>
              <w:rPr>
                <w:rFonts w:hint="eastAsia" w:cs="宋体"/>
                <w:b/>
                <w:bCs/>
                <w:color w:val="000000"/>
                <w:szCs w:val="24"/>
              </w:rPr>
            </w:pPr>
            <w:r>
              <w:rPr>
                <w:rFonts w:hint="eastAsia" w:cs="宋体"/>
                <w:b/>
                <w:bCs/>
                <w:color w:val="000000"/>
                <w:szCs w:val="24"/>
              </w:rPr>
              <w:t>指标项</w:t>
            </w:r>
          </w:p>
        </w:tc>
        <w:tc>
          <w:tcPr>
            <w:tcW w:w="5908" w:type="dxa"/>
            <w:tcBorders>
              <w:top w:val="single" w:color="auto" w:sz="4" w:space="0"/>
              <w:left w:val="nil"/>
              <w:bottom w:val="single" w:color="auto" w:sz="4" w:space="0"/>
              <w:right w:val="single" w:color="auto" w:sz="4" w:space="0"/>
            </w:tcBorders>
            <w:vAlign w:val="center"/>
          </w:tcPr>
          <w:p>
            <w:pPr>
              <w:spacing w:line="240" w:lineRule="auto"/>
              <w:jc w:val="center"/>
              <w:rPr>
                <w:rFonts w:hint="eastAsia" w:cs="宋体"/>
                <w:b/>
                <w:bCs/>
                <w:color w:val="000000"/>
                <w:szCs w:val="24"/>
              </w:rPr>
            </w:pPr>
            <w:r>
              <w:rPr>
                <w:rFonts w:hint="eastAsia" w:cs="宋体"/>
                <w:b/>
                <w:bCs/>
                <w:color w:val="000000"/>
                <w:szCs w:val="24"/>
              </w:rPr>
              <w:t>指标要求</w:t>
            </w:r>
          </w:p>
        </w:tc>
      </w:tr>
      <w:tr>
        <w:tblPrEx>
          <w:tblLayout w:type="fixed"/>
          <w:tblCellMar>
            <w:top w:w="0" w:type="dxa"/>
            <w:left w:w="108" w:type="dxa"/>
            <w:bottom w:w="0" w:type="dxa"/>
            <w:right w:w="108" w:type="dxa"/>
          </w:tblCellMar>
        </w:tblPrEx>
        <w:trPr>
          <w:trHeight w:val="288" w:hRule="atLeast"/>
        </w:trPr>
        <w:tc>
          <w:tcPr>
            <w:tcW w:w="837" w:type="dxa"/>
            <w:tcBorders>
              <w:top w:val="nil"/>
              <w:left w:val="single" w:color="auto" w:sz="4" w:space="0"/>
              <w:bottom w:val="single" w:color="auto" w:sz="4" w:space="0"/>
              <w:right w:val="single" w:color="auto" w:sz="4" w:space="0"/>
            </w:tcBorders>
            <w:noWrap/>
            <w:vAlign w:val="center"/>
          </w:tcPr>
          <w:p>
            <w:pPr>
              <w:spacing w:line="240" w:lineRule="auto"/>
              <w:jc w:val="center"/>
              <w:rPr>
                <w:rFonts w:hint="eastAsia" w:cs="宋体"/>
                <w:color w:val="000000"/>
                <w:szCs w:val="24"/>
              </w:rPr>
            </w:pPr>
            <w:r>
              <w:rPr>
                <w:rFonts w:hint="eastAsia" w:cs="宋体"/>
                <w:color w:val="000000"/>
                <w:szCs w:val="24"/>
              </w:rPr>
              <w:t>1</w:t>
            </w:r>
          </w:p>
        </w:tc>
        <w:tc>
          <w:tcPr>
            <w:tcW w:w="1778" w:type="dxa"/>
            <w:tcBorders>
              <w:top w:val="nil"/>
              <w:left w:val="nil"/>
              <w:bottom w:val="single" w:color="auto" w:sz="4" w:space="0"/>
              <w:right w:val="single" w:color="auto" w:sz="4" w:space="0"/>
            </w:tcBorders>
            <w:noWrap/>
            <w:vAlign w:val="center"/>
          </w:tcPr>
          <w:p>
            <w:pPr>
              <w:spacing w:line="240" w:lineRule="auto"/>
              <w:jc w:val="center"/>
              <w:rPr>
                <w:rFonts w:hint="eastAsia" w:cs="宋体"/>
                <w:color w:val="000000"/>
                <w:szCs w:val="24"/>
              </w:rPr>
            </w:pPr>
            <w:r>
              <w:rPr>
                <w:rFonts w:hint="eastAsia" w:cs="宋体"/>
                <w:color w:val="000000"/>
                <w:szCs w:val="24"/>
              </w:rPr>
              <w:t>频次</w:t>
            </w:r>
          </w:p>
        </w:tc>
        <w:tc>
          <w:tcPr>
            <w:tcW w:w="5908" w:type="dxa"/>
            <w:tcBorders>
              <w:top w:val="nil"/>
              <w:left w:val="nil"/>
              <w:bottom w:val="single" w:color="auto" w:sz="4" w:space="0"/>
              <w:right w:val="single" w:color="auto" w:sz="4" w:space="0"/>
            </w:tcBorders>
            <w:vAlign w:val="center"/>
          </w:tcPr>
          <w:p>
            <w:pPr>
              <w:spacing w:line="240" w:lineRule="auto"/>
              <w:rPr>
                <w:rFonts w:hint="eastAsia" w:cs="宋体"/>
                <w:color w:val="000000"/>
                <w:szCs w:val="24"/>
              </w:rPr>
            </w:pPr>
            <w:r>
              <w:rPr>
                <w:rFonts w:hint="eastAsia" w:cs="宋体"/>
                <w:color w:val="000000"/>
                <w:szCs w:val="24"/>
              </w:rPr>
              <w:t>每月1次</w:t>
            </w:r>
          </w:p>
        </w:tc>
      </w:tr>
      <w:tr>
        <w:tblPrEx>
          <w:tblLayout w:type="fixed"/>
          <w:tblCellMar>
            <w:top w:w="0" w:type="dxa"/>
            <w:left w:w="108" w:type="dxa"/>
            <w:bottom w:w="0" w:type="dxa"/>
            <w:right w:w="108" w:type="dxa"/>
          </w:tblCellMar>
        </w:tblPrEx>
        <w:trPr>
          <w:trHeight w:val="2016" w:hRule="atLeast"/>
        </w:trPr>
        <w:tc>
          <w:tcPr>
            <w:tcW w:w="837" w:type="dxa"/>
            <w:tcBorders>
              <w:top w:val="nil"/>
              <w:left w:val="single" w:color="auto" w:sz="4" w:space="0"/>
              <w:bottom w:val="single" w:color="auto" w:sz="4" w:space="0"/>
              <w:right w:val="single" w:color="auto" w:sz="4" w:space="0"/>
            </w:tcBorders>
            <w:noWrap/>
            <w:vAlign w:val="center"/>
          </w:tcPr>
          <w:p>
            <w:pPr>
              <w:spacing w:line="240" w:lineRule="auto"/>
              <w:jc w:val="center"/>
              <w:rPr>
                <w:rFonts w:hint="eastAsia" w:cs="宋体"/>
                <w:color w:val="000000"/>
                <w:szCs w:val="24"/>
              </w:rPr>
            </w:pPr>
            <w:r>
              <w:rPr>
                <w:rFonts w:hint="eastAsia" w:cs="宋体"/>
                <w:color w:val="000000"/>
                <w:szCs w:val="24"/>
              </w:rPr>
              <w:t>2</w:t>
            </w:r>
          </w:p>
        </w:tc>
        <w:tc>
          <w:tcPr>
            <w:tcW w:w="1778" w:type="dxa"/>
            <w:tcBorders>
              <w:top w:val="nil"/>
              <w:left w:val="nil"/>
              <w:bottom w:val="single" w:color="auto" w:sz="4" w:space="0"/>
              <w:right w:val="single" w:color="auto" w:sz="4" w:space="0"/>
            </w:tcBorders>
            <w:noWrap/>
            <w:vAlign w:val="center"/>
          </w:tcPr>
          <w:p>
            <w:pPr>
              <w:spacing w:line="240" w:lineRule="auto"/>
              <w:jc w:val="center"/>
              <w:rPr>
                <w:rFonts w:hint="eastAsia" w:cs="宋体"/>
                <w:color w:val="000000"/>
                <w:szCs w:val="24"/>
              </w:rPr>
            </w:pPr>
            <w:r>
              <w:rPr>
                <w:rFonts w:hint="eastAsia" w:cs="宋体"/>
                <w:color w:val="000000"/>
                <w:szCs w:val="24"/>
              </w:rPr>
              <w:t>服务要求</w:t>
            </w:r>
          </w:p>
        </w:tc>
        <w:tc>
          <w:tcPr>
            <w:tcW w:w="5908" w:type="dxa"/>
            <w:tcBorders>
              <w:top w:val="nil"/>
              <w:left w:val="nil"/>
              <w:bottom w:val="single" w:color="auto" w:sz="4" w:space="0"/>
              <w:right w:val="single" w:color="auto" w:sz="4" w:space="0"/>
            </w:tcBorders>
            <w:vAlign w:val="center"/>
          </w:tcPr>
          <w:p>
            <w:pPr>
              <w:spacing w:line="240" w:lineRule="auto"/>
              <w:rPr>
                <w:rFonts w:hint="eastAsia" w:cs="宋体"/>
                <w:color w:val="000000"/>
                <w:szCs w:val="24"/>
              </w:rPr>
            </w:pPr>
            <w:r>
              <w:rPr>
                <w:rFonts w:hint="eastAsia" w:cs="宋体"/>
                <w:color w:val="000000"/>
                <w:szCs w:val="24"/>
              </w:rPr>
              <w:t>定期利用专业的漏扫工具对系统进行漏洞扫描，发现网络设备、主机操作系统、web应用等安全漏洞情况。扫描要求如下：</w:t>
            </w:r>
            <w:r>
              <w:rPr>
                <w:rFonts w:hint="eastAsia" w:cs="宋体"/>
                <w:color w:val="000000"/>
                <w:szCs w:val="24"/>
              </w:rPr>
              <w:br w:type="textWrapping"/>
            </w:r>
            <w:r>
              <w:rPr>
                <w:rFonts w:hint="eastAsia" w:cs="宋体"/>
                <w:color w:val="000000"/>
                <w:szCs w:val="24"/>
              </w:rPr>
              <w:t>1.针对用户所有IT设备每季度进行安全漏洞扫描工作，并输出扫描报告与加固建议；</w:t>
            </w:r>
            <w:r>
              <w:rPr>
                <w:rFonts w:hint="eastAsia" w:cs="宋体"/>
                <w:color w:val="000000"/>
                <w:szCs w:val="24"/>
              </w:rPr>
              <w:br w:type="textWrapping"/>
            </w:r>
            <w:r>
              <w:rPr>
                <w:rFonts w:hint="eastAsia" w:cs="宋体"/>
                <w:color w:val="000000"/>
                <w:szCs w:val="24"/>
              </w:rPr>
              <w:t>2.针对相关Web服务业务系统，进行网页安全漏洞扫描，并输出扫描报告与加固建议；</w:t>
            </w:r>
            <w:r>
              <w:rPr>
                <w:rFonts w:hint="eastAsia" w:cs="宋体"/>
                <w:color w:val="000000"/>
                <w:szCs w:val="24"/>
              </w:rPr>
              <w:br w:type="textWrapping"/>
            </w:r>
            <w:r>
              <w:rPr>
                <w:rFonts w:hint="eastAsia" w:cs="宋体"/>
                <w:color w:val="000000"/>
                <w:szCs w:val="24"/>
              </w:rPr>
              <w:t>3.针对新上线系统进行漏扫和检查，并输出新上线系统检查加固报告。</w:t>
            </w:r>
          </w:p>
        </w:tc>
      </w:tr>
      <w:tr>
        <w:tblPrEx>
          <w:tblLayout w:type="fixed"/>
          <w:tblCellMar>
            <w:top w:w="0" w:type="dxa"/>
            <w:left w:w="108" w:type="dxa"/>
            <w:bottom w:w="0" w:type="dxa"/>
            <w:right w:w="108" w:type="dxa"/>
          </w:tblCellMar>
        </w:tblPrEx>
        <w:trPr>
          <w:trHeight w:val="1440" w:hRule="atLeast"/>
        </w:trPr>
        <w:tc>
          <w:tcPr>
            <w:tcW w:w="837" w:type="dxa"/>
            <w:tcBorders>
              <w:top w:val="nil"/>
              <w:left w:val="single" w:color="auto" w:sz="4" w:space="0"/>
              <w:bottom w:val="single" w:color="auto" w:sz="4" w:space="0"/>
              <w:right w:val="single" w:color="auto" w:sz="4" w:space="0"/>
            </w:tcBorders>
            <w:noWrap/>
            <w:vAlign w:val="center"/>
          </w:tcPr>
          <w:p>
            <w:pPr>
              <w:spacing w:line="240" w:lineRule="auto"/>
              <w:jc w:val="center"/>
              <w:rPr>
                <w:rFonts w:hint="eastAsia" w:cs="宋体"/>
                <w:color w:val="000000"/>
                <w:szCs w:val="24"/>
              </w:rPr>
            </w:pPr>
            <w:r>
              <w:rPr>
                <w:rFonts w:hint="eastAsia" w:cs="宋体"/>
                <w:color w:val="000000"/>
                <w:szCs w:val="24"/>
              </w:rPr>
              <w:t>3</w:t>
            </w:r>
          </w:p>
        </w:tc>
        <w:tc>
          <w:tcPr>
            <w:tcW w:w="1778" w:type="dxa"/>
            <w:tcBorders>
              <w:top w:val="nil"/>
              <w:left w:val="nil"/>
              <w:bottom w:val="single" w:color="auto" w:sz="4" w:space="0"/>
              <w:right w:val="single" w:color="auto" w:sz="4" w:space="0"/>
            </w:tcBorders>
            <w:noWrap/>
            <w:vAlign w:val="center"/>
          </w:tcPr>
          <w:p>
            <w:pPr>
              <w:spacing w:line="240" w:lineRule="auto"/>
              <w:jc w:val="center"/>
              <w:rPr>
                <w:rFonts w:hint="eastAsia" w:cs="宋体"/>
                <w:color w:val="000000"/>
                <w:szCs w:val="24"/>
              </w:rPr>
            </w:pPr>
            <w:r>
              <w:rPr>
                <w:rFonts w:hint="eastAsia" w:cs="宋体"/>
                <w:color w:val="000000"/>
                <w:szCs w:val="24"/>
              </w:rPr>
              <w:t>服务交付</w:t>
            </w:r>
          </w:p>
        </w:tc>
        <w:tc>
          <w:tcPr>
            <w:tcW w:w="5908" w:type="dxa"/>
            <w:tcBorders>
              <w:top w:val="nil"/>
              <w:left w:val="nil"/>
              <w:bottom w:val="single" w:color="auto" w:sz="4" w:space="0"/>
              <w:right w:val="single" w:color="auto" w:sz="4" w:space="0"/>
            </w:tcBorders>
            <w:vAlign w:val="center"/>
          </w:tcPr>
          <w:p>
            <w:pPr>
              <w:spacing w:line="240" w:lineRule="auto"/>
              <w:rPr>
                <w:rFonts w:hint="eastAsia" w:cs="宋体"/>
                <w:color w:val="000000"/>
                <w:szCs w:val="24"/>
              </w:rPr>
            </w:pPr>
            <w:r>
              <w:rPr>
                <w:rFonts w:hint="eastAsia" w:cs="宋体"/>
                <w:color w:val="000000"/>
                <w:szCs w:val="24"/>
              </w:rPr>
              <w:t>服务完成后，服务人员需对每次扫描服务范围内的安全状况进行概述，对主机系统，网络设备，开放服务和漏洞情况进行统计。包括弱口令，主机安全扫描报告。根据漏洞扫描的结果针对每个漏洞进行详细描述，描述内容包括了漏洞厂商、威胁目标、危险级别、危害描述以及详细解决方案等。</w:t>
            </w:r>
          </w:p>
        </w:tc>
      </w:tr>
    </w:tbl>
    <w:p>
      <w:pPr>
        <w:pStyle w:val="92"/>
        <w:spacing w:after="0" w:line="360" w:lineRule="auto"/>
        <w:ind w:firstLine="199" w:firstLineChars="83"/>
        <w:rPr>
          <w:rFonts w:hint="eastAsia" w:ascii="宋体" w:hAnsi="宋体"/>
          <w:sz w:val="24"/>
          <w:szCs w:val="24"/>
        </w:rPr>
      </w:pPr>
    </w:p>
    <w:p>
      <w:pPr>
        <w:pStyle w:val="5"/>
        <w:rPr>
          <w:color w:val="000000" w:themeColor="text1"/>
          <w14:textFill>
            <w14:solidFill>
              <w14:schemeClr w14:val="tx1"/>
            </w14:solidFill>
          </w14:textFill>
        </w:rPr>
      </w:pPr>
      <w:r>
        <w:rPr>
          <w:rFonts w:hint="eastAsia"/>
          <w:color w:val="000000" w:themeColor="text1"/>
          <w14:textFill>
            <w14:solidFill>
              <w14:schemeClr w14:val="tx1"/>
            </w14:solidFill>
          </w14:textFill>
        </w:rPr>
        <w:t>漏洞修复服务</w:t>
      </w:r>
    </w:p>
    <w:tbl>
      <w:tblPr>
        <w:tblStyle w:val="33"/>
        <w:tblW w:w="8523" w:type="dxa"/>
        <w:tblInd w:w="0" w:type="dxa"/>
        <w:tblLayout w:type="fixed"/>
        <w:tblCellMar>
          <w:top w:w="0" w:type="dxa"/>
          <w:left w:w="108" w:type="dxa"/>
          <w:bottom w:w="0" w:type="dxa"/>
          <w:right w:w="108" w:type="dxa"/>
        </w:tblCellMar>
      </w:tblPr>
      <w:tblGrid>
        <w:gridCol w:w="837"/>
        <w:gridCol w:w="1778"/>
        <w:gridCol w:w="5908"/>
      </w:tblGrid>
      <w:tr>
        <w:tblPrEx>
          <w:tblLayout w:type="fixed"/>
          <w:tblCellMar>
            <w:top w:w="0" w:type="dxa"/>
            <w:left w:w="108" w:type="dxa"/>
            <w:bottom w:w="0" w:type="dxa"/>
            <w:right w:w="108" w:type="dxa"/>
          </w:tblCellMar>
        </w:tblPrEx>
        <w:trPr>
          <w:trHeight w:val="288" w:hRule="atLeast"/>
        </w:trPr>
        <w:tc>
          <w:tcPr>
            <w:tcW w:w="837" w:type="dxa"/>
            <w:tcBorders>
              <w:top w:val="single" w:color="auto" w:sz="4" w:space="0"/>
              <w:left w:val="single" w:color="auto" w:sz="4" w:space="0"/>
              <w:bottom w:val="single" w:color="auto" w:sz="4" w:space="0"/>
              <w:right w:val="single" w:color="auto" w:sz="4" w:space="0"/>
            </w:tcBorders>
            <w:noWrap/>
            <w:vAlign w:val="center"/>
          </w:tcPr>
          <w:p>
            <w:pPr>
              <w:spacing w:line="240" w:lineRule="auto"/>
              <w:jc w:val="center"/>
              <w:rPr>
                <w:rFonts w:hint="eastAsia" w:cs="宋体"/>
                <w:b/>
                <w:bCs/>
                <w:color w:val="000000"/>
                <w:szCs w:val="24"/>
              </w:rPr>
            </w:pPr>
            <w:r>
              <w:rPr>
                <w:rFonts w:hint="eastAsia" w:cs="宋体"/>
                <w:b/>
                <w:bCs/>
                <w:color w:val="000000"/>
                <w:szCs w:val="24"/>
              </w:rPr>
              <w:t>序号</w:t>
            </w:r>
          </w:p>
        </w:tc>
        <w:tc>
          <w:tcPr>
            <w:tcW w:w="1778" w:type="dxa"/>
            <w:tcBorders>
              <w:top w:val="single" w:color="auto" w:sz="4" w:space="0"/>
              <w:left w:val="nil"/>
              <w:bottom w:val="single" w:color="auto" w:sz="4" w:space="0"/>
              <w:right w:val="single" w:color="auto" w:sz="4" w:space="0"/>
            </w:tcBorders>
            <w:noWrap/>
            <w:vAlign w:val="center"/>
          </w:tcPr>
          <w:p>
            <w:pPr>
              <w:spacing w:line="240" w:lineRule="auto"/>
              <w:jc w:val="center"/>
              <w:rPr>
                <w:rFonts w:hint="eastAsia" w:cs="宋体"/>
                <w:b/>
                <w:bCs/>
                <w:color w:val="000000"/>
                <w:szCs w:val="24"/>
              </w:rPr>
            </w:pPr>
            <w:r>
              <w:rPr>
                <w:rFonts w:hint="eastAsia" w:cs="宋体"/>
                <w:b/>
                <w:bCs/>
                <w:color w:val="000000"/>
                <w:szCs w:val="24"/>
              </w:rPr>
              <w:t>指标项</w:t>
            </w:r>
          </w:p>
        </w:tc>
        <w:tc>
          <w:tcPr>
            <w:tcW w:w="5908" w:type="dxa"/>
            <w:tcBorders>
              <w:top w:val="single" w:color="auto" w:sz="4" w:space="0"/>
              <w:left w:val="nil"/>
              <w:bottom w:val="single" w:color="auto" w:sz="4" w:space="0"/>
              <w:right w:val="single" w:color="auto" w:sz="4" w:space="0"/>
            </w:tcBorders>
            <w:vAlign w:val="center"/>
          </w:tcPr>
          <w:p>
            <w:pPr>
              <w:spacing w:line="240" w:lineRule="auto"/>
              <w:jc w:val="center"/>
              <w:rPr>
                <w:rFonts w:hint="eastAsia" w:cs="宋体"/>
                <w:b/>
                <w:bCs/>
                <w:color w:val="000000"/>
                <w:szCs w:val="24"/>
              </w:rPr>
            </w:pPr>
            <w:r>
              <w:rPr>
                <w:rFonts w:hint="eastAsia" w:cs="宋体"/>
                <w:b/>
                <w:bCs/>
                <w:color w:val="000000"/>
                <w:szCs w:val="24"/>
              </w:rPr>
              <w:t>指标要求</w:t>
            </w:r>
          </w:p>
        </w:tc>
      </w:tr>
      <w:tr>
        <w:tblPrEx>
          <w:tblLayout w:type="fixed"/>
          <w:tblCellMar>
            <w:top w:w="0" w:type="dxa"/>
            <w:left w:w="108" w:type="dxa"/>
            <w:bottom w:w="0" w:type="dxa"/>
            <w:right w:w="108" w:type="dxa"/>
          </w:tblCellMar>
        </w:tblPrEx>
        <w:trPr>
          <w:trHeight w:val="288" w:hRule="atLeast"/>
        </w:trPr>
        <w:tc>
          <w:tcPr>
            <w:tcW w:w="837" w:type="dxa"/>
            <w:tcBorders>
              <w:top w:val="nil"/>
              <w:left w:val="single" w:color="auto" w:sz="4" w:space="0"/>
              <w:bottom w:val="single" w:color="auto" w:sz="4" w:space="0"/>
              <w:right w:val="single" w:color="auto" w:sz="4" w:space="0"/>
            </w:tcBorders>
            <w:noWrap/>
            <w:vAlign w:val="center"/>
          </w:tcPr>
          <w:p>
            <w:pPr>
              <w:spacing w:line="240" w:lineRule="auto"/>
              <w:jc w:val="center"/>
              <w:rPr>
                <w:rFonts w:hint="eastAsia" w:cs="宋体"/>
                <w:color w:val="000000"/>
                <w:szCs w:val="24"/>
              </w:rPr>
            </w:pPr>
            <w:r>
              <w:rPr>
                <w:rFonts w:hint="eastAsia" w:cs="宋体"/>
                <w:color w:val="000000"/>
                <w:szCs w:val="24"/>
              </w:rPr>
              <w:t>1</w:t>
            </w:r>
          </w:p>
        </w:tc>
        <w:tc>
          <w:tcPr>
            <w:tcW w:w="1778" w:type="dxa"/>
            <w:tcBorders>
              <w:top w:val="nil"/>
              <w:left w:val="nil"/>
              <w:bottom w:val="single" w:color="auto" w:sz="4" w:space="0"/>
              <w:right w:val="single" w:color="auto" w:sz="4" w:space="0"/>
            </w:tcBorders>
            <w:noWrap/>
            <w:vAlign w:val="center"/>
          </w:tcPr>
          <w:p>
            <w:pPr>
              <w:spacing w:line="240" w:lineRule="auto"/>
              <w:jc w:val="center"/>
              <w:rPr>
                <w:rFonts w:hint="eastAsia" w:cs="宋体"/>
                <w:color w:val="000000"/>
                <w:szCs w:val="24"/>
              </w:rPr>
            </w:pPr>
            <w:r>
              <w:rPr>
                <w:rFonts w:hint="eastAsia" w:cs="宋体"/>
                <w:color w:val="000000"/>
                <w:szCs w:val="24"/>
              </w:rPr>
              <w:t>频次</w:t>
            </w:r>
          </w:p>
        </w:tc>
        <w:tc>
          <w:tcPr>
            <w:tcW w:w="5908" w:type="dxa"/>
            <w:tcBorders>
              <w:top w:val="nil"/>
              <w:left w:val="nil"/>
              <w:bottom w:val="single" w:color="auto" w:sz="4" w:space="0"/>
              <w:right w:val="single" w:color="auto" w:sz="4" w:space="0"/>
            </w:tcBorders>
            <w:vAlign w:val="center"/>
          </w:tcPr>
          <w:p>
            <w:pPr>
              <w:spacing w:line="240" w:lineRule="auto"/>
              <w:rPr>
                <w:rFonts w:hint="eastAsia" w:cs="宋体"/>
                <w:color w:val="000000"/>
                <w:szCs w:val="24"/>
              </w:rPr>
            </w:pPr>
            <w:r>
              <w:rPr>
                <w:rFonts w:hint="eastAsia" w:cs="宋体"/>
                <w:color w:val="000000"/>
                <w:szCs w:val="24"/>
              </w:rPr>
              <w:t>一年</w:t>
            </w:r>
            <w:r>
              <w:rPr>
                <w:rFonts w:hint="eastAsia" w:cs="宋体"/>
                <w:color w:val="000000"/>
                <w:szCs w:val="24"/>
                <w:lang w:val="en-US" w:eastAsia="zh-CN"/>
              </w:rPr>
              <w:t>不少于</w:t>
            </w:r>
            <w:r>
              <w:rPr>
                <w:rFonts w:hint="eastAsia" w:cs="宋体"/>
                <w:color w:val="000000"/>
                <w:szCs w:val="24"/>
              </w:rPr>
              <w:t>200个主机</w:t>
            </w:r>
          </w:p>
        </w:tc>
      </w:tr>
      <w:tr>
        <w:tblPrEx>
          <w:tblLayout w:type="fixed"/>
          <w:tblCellMar>
            <w:top w:w="0" w:type="dxa"/>
            <w:left w:w="108" w:type="dxa"/>
            <w:bottom w:w="0" w:type="dxa"/>
            <w:right w:w="108" w:type="dxa"/>
          </w:tblCellMar>
        </w:tblPrEx>
        <w:trPr>
          <w:trHeight w:val="1152" w:hRule="atLeast"/>
        </w:trPr>
        <w:tc>
          <w:tcPr>
            <w:tcW w:w="837" w:type="dxa"/>
            <w:tcBorders>
              <w:top w:val="nil"/>
              <w:left w:val="single" w:color="auto" w:sz="4" w:space="0"/>
              <w:bottom w:val="single" w:color="auto" w:sz="4" w:space="0"/>
              <w:right w:val="single" w:color="auto" w:sz="4" w:space="0"/>
            </w:tcBorders>
            <w:noWrap/>
            <w:vAlign w:val="center"/>
          </w:tcPr>
          <w:p>
            <w:pPr>
              <w:spacing w:line="240" w:lineRule="auto"/>
              <w:jc w:val="center"/>
              <w:rPr>
                <w:rFonts w:hint="eastAsia" w:cs="宋体"/>
                <w:color w:val="000000"/>
                <w:szCs w:val="24"/>
              </w:rPr>
            </w:pPr>
            <w:r>
              <w:rPr>
                <w:rFonts w:hint="eastAsia" w:cs="宋体"/>
                <w:color w:val="000000"/>
                <w:szCs w:val="24"/>
              </w:rPr>
              <w:t>2</w:t>
            </w:r>
          </w:p>
        </w:tc>
        <w:tc>
          <w:tcPr>
            <w:tcW w:w="1778" w:type="dxa"/>
            <w:tcBorders>
              <w:top w:val="nil"/>
              <w:left w:val="nil"/>
              <w:bottom w:val="single" w:color="auto" w:sz="4" w:space="0"/>
              <w:right w:val="single" w:color="auto" w:sz="4" w:space="0"/>
            </w:tcBorders>
            <w:noWrap/>
            <w:vAlign w:val="center"/>
          </w:tcPr>
          <w:p>
            <w:pPr>
              <w:spacing w:line="240" w:lineRule="auto"/>
              <w:jc w:val="center"/>
              <w:rPr>
                <w:rFonts w:hint="eastAsia" w:cs="宋体"/>
                <w:color w:val="000000"/>
                <w:szCs w:val="24"/>
              </w:rPr>
            </w:pPr>
            <w:r>
              <w:rPr>
                <w:rFonts w:hint="eastAsia" w:cs="宋体"/>
                <w:color w:val="000000"/>
                <w:szCs w:val="24"/>
              </w:rPr>
              <w:t>服务要求</w:t>
            </w:r>
          </w:p>
        </w:tc>
        <w:tc>
          <w:tcPr>
            <w:tcW w:w="5908" w:type="dxa"/>
            <w:tcBorders>
              <w:top w:val="nil"/>
              <w:left w:val="nil"/>
              <w:bottom w:val="single" w:color="auto" w:sz="4" w:space="0"/>
              <w:right w:val="single" w:color="auto" w:sz="4" w:space="0"/>
            </w:tcBorders>
            <w:vAlign w:val="center"/>
          </w:tcPr>
          <w:p>
            <w:pPr>
              <w:spacing w:line="240" w:lineRule="auto"/>
              <w:rPr>
                <w:rFonts w:hint="eastAsia" w:cs="宋体"/>
                <w:color w:val="000000"/>
                <w:szCs w:val="24"/>
              </w:rPr>
            </w:pPr>
            <w:r>
              <w:rPr>
                <w:rFonts w:hint="eastAsia" w:cs="宋体"/>
                <w:color w:val="000000"/>
                <w:szCs w:val="24"/>
              </w:rPr>
              <w:t>根据漏洞扫描、安全评估的结果，制定相应的系统加固方案，针对不同目标系统，通过安装补丁、修改安全配置、增加安全机制等方法，进行相应漏洞安全加固或修复。漏洞修复包括网络设备、安全设备、主机操作系统、数据库和桌面终端操作系统等。</w:t>
            </w:r>
          </w:p>
        </w:tc>
      </w:tr>
      <w:tr>
        <w:tblPrEx>
          <w:tblLayout w:type="fixed"/>
          <w:tblCellMar>
            <w:top w:w="0" w:type="dxa"/>
            <w:left w:w="108" w:type="dxa"/>
            <w:bottom w:w="0" w:type="dxa"/>
            <w:right w:w="108" w:type="dxa"/>
          </w:tblCellMar>
        </w:tblPrEx>
        <w:trPr>
          <w:trHeight w:val="8192" w:hRule="atLeast"/>
        </w:trPr>
        <w:tc>
          <w:tcPr>
            <w:tcW w:w="837" w:type="dxa"/>
            <w:tcBorders>
              <w:top w:val="nil"/>
              <w:left w:val="single" w:color="auto" w:sz="4" w:space="0"/>
              <w:bottom w:val="single" w:color="auto" w:sz="4" w:space="0"/>
              <w:right w:val="single" w:color="auto" w:sz="4" w:space="0"/>
            </w:tcBorders>
            <w:noWrap/>
            <w:vAlign w:val="center"/>
          </w:tcPr>
          <w:p>
            <w:pPr>
              <w:spacing w:line="240" w:lineRule="auto"/>
              <w:jc w:val="center"/>
              <w:rPr>
                <w:rFonts w:hint="eastAsia" w:cs="宋体"/>
                <w:color w:val="000000"/>
                <w:szCs w:val="24"/>
              </w:rPr>
            </w:pPr>
            <w:r>
              <w:rPr>
                <w:rFonts w:hint="eastAsia" w:cs="宋体"/>
                <w:color w:val="000000"/>
                <w:szCs w:val="24"/>
              </w:rPr>
              <w:t>3</w:t>
            </w:r>
          </w:p>
        </w:tc>
        <w:tc>
          <w:tcPr>
            <w:tcW w:w="1778" w:type="dxa"/>
            <w:tcBorders>
              <w:top w:val="nil"/>
              <w:left w:val="nil"/>
              <w:bottom w:val="single" w:color="auto" w:sz="4" w:space="0"/>
              <w:right w:val="single" w:color="auto" w:sz="4" w:space="0"/>
            </w:tcBorders>
            <w:noWrap/>
            <w:vAlign w:val="center"/>
          </w:tcPr>
          <w:p>
            <w:pPr>
              <w:spacing w:line="240" w:lineRule="auto"/>
              <w:jc w:val="center"/>
              <w:rPr>
                <w:rFonts w:hint="eastAsia" w:cs="宋体"/>
                <w:color w:val="000000"/>
                <w:szCs w:val="24"/>
              </w:rPr>
            </w:pPr>
            <w:r>
              <w:rPr>
                <w:rFonts w:hint="eastAsia" w:cs="宋体"/>
                <w:color w:val="000000"/>
                <w:szCs w:val="24"/>
              </w:rPr>
              <w:t>服务内容</w:t>
            </w:r>
          </w:p>
        </w:tc>
        <w:tc>
          <w:tcPr>
            <w:tcW w:w="5908" w:type="dxa"/>
            <w:tcBorders>
              <w:top w:val="nil"/>
              <w:left w:val="nil"/>
              <w:bottom w:val="single" w:color="auto" w:sz="4" w:space="0"/>
              <w:right w:val="single" w:color="auto" w:sz="4" w:space="0"/>
            </w:tcBorders>
            <w:vAlign w:val="center"/>
          </w:tcPr>
          <w:p>
            <w:pPr>
              <w:spacing w:line="240" w:lineRule="auto"/>
              <w:rPr>
                <w:rFonts w:hint="eastAsia" w:cs="宋体"/>
                <w:color w:val="000000"/>
                <w:szCs w:val="24"/>
              </w:rPr>
            </w:pPr>
            <w:r>
              <w:rPr>
                <w:rFonts w:hint="eastAsia" w:cs="宋体"/>
                <w:color w:val="000000"/>
                <w:szCs w:val="24"/>
              </w:rPr>
              <w:t>漏洞修复包括但不限于以下设备或漏洞范围：</w:t>
            </w:r>
          </w:p>
          <w:p>
            <w:pPr>
              <w:pStyle w:val="55"/>
              <w:numPr>
                <w:ilvl w:val="0"/>
                <w:numId w:val="6"/>
              </w:numPr>
              <w:spacing w:line="240" w:lineRule="auto"/>
              <w:rPr>
                <w:rFonts w:cs="宋体"/>
                <w:color w:val="000000"/>
                <w:szCs w:val="24"/>
              </w:rPr>
            </w:pPr>
            <w:r>
              <w:rPr>
                <w:rFonts w:hint="eastAsia" w:cs="宋体"/>
                <w:color w:val="000000"/>
                <w:szCs w:val="24"/>
              </w:rPr>
              <w:t>网络层漏洞修复</w:t>
            </w:r>
          </w:p>
          <w:p>
            <w:pPr>
              <w:spacing w:line="240" w:lineRule="auto"/>
              <w:rPr>
                <w:rFonts w:hint="eastAsia" w:cs="宋体"/>
                <w:color w:val="000000"/>
                <w:szCs w:val="24"/>
              </w:rPr>
            </w:pPr>
            <w:r>
              <w:rPr>
                <w:rFonts w:hint="eastAsia" w:cs="宋体"/>
                <w:color w:val="000000"/>
                <w:szCs w:val="24"/>
              </w:rPr>
              <w:t>1. 版本漏洞，涉及包括所有在线网络设备及安全设备版本漏洞修复。</w:t>
            </w:r>
            <w:r>
              <w:rPr>
                <w:rFonts w:hint="eastAsia" w:cs="宋体"/>
                <w:color w:val="000000"/>
                <w:szCs w:val="24"/>
              </w:rPr>
              <w:br w:type="textWrapping"/>
            </w:r>
            <w:r>
              <w:rPr>
                <w:rFonts w:hint="eastAsia" w:cs="宋体"/>
                <w:color w:val="000000"/>
                <w:szCs w:val="24"/>
              </w:rPr>
              <w:t>2. 开放服务，包括但不限于路由器开放的Web管理界面、其他管理方式调整。</w:t>
            </w:r>
            <w:r>
              <w:rPr>
                <w:rFonts w:hint="eastAsia" w:cs="宋体"/>
                <w:color w:val="000000"/>
                <w:szCs w:val="24"/>
              </w:rPr>
              <w:br w:type="textWrapping"/>
            </w:r>
            <w:r>
              <w:rPr>
                <w:rFonts w:hint="eastAsia" w:cs="宋体"/>
                <w:color w:val="000000"/>
                <w:szCs w:val="24"/>
              </w:rPr>
              <w:t>3. 空弱口令，例如空/弱telnet口令、snmp口令调整等；</w:t>
            </w:r>
            <w:r>
              <w:rPr>
                <w:rFonts w:hint="eastAsia" w:cs="宋体"/>
                <w:color w:val="000000"/>
                <w:szCs w:val="24"/>
              </w:rPr>
              <w:br w:type="textWrapping"/>
            </w:r>
            <w:r>
              <w:rPr>
                <w:rFonts w:hint="eastAsia" w:cs="宋体"/>
                <w:color w:val="000000"/>
                <w:szCs w:val="24"/>
              </w:rPr>
              <w:t>4. 网络资源的访问控制：检测到无线访问点策略调整；</w:t>
            </w:r>
            <w:r>
              <w:rPr>
                <w:rFonts w:hint="eastAsia" w:cs="宋体"/>
                <w:color w:val="000000"/>
                <w:szCs w:val="24"/>
              </w:rPr>
              <w:br w:type="textWrapping"/>
            </w:r>
            <w:r>
              <w:rPr>
                <w:rFonts w:hint="eastAsia" w:cs="宋体"/>
                <w:color w:val="000000"/>
                <w:szCs w:val="24"/>
              </w:rPr>
              <w:t>5. 域名系统：拒绝服务攻击漏洞， DNS拒绝服务攻击漏洞修复；</w:t>
            </w:r>
            <w:r>
              <w:rPr>
                <w:rFonts w:hint="eastAsia" w:cs="宋体"/>
                <w:color w:val="000000"/>
                <w:szCs w:val="24"/>
              </w:rPr>
              <w:br w:type="textWrapping"/>
            </w:r>
            <w:r>
              <w:rPr>
                <w:rFonts w:hint="eastAsia" w:cs="宋体"/>
                <w:color w:val="000000"/>
                <w:szCs w:val="24"/>
              </w:rPr>
              <w:t>6. 路由器：配置接口安全认证可被绕过，交换机/路由器缺省口令漏洞修复。</w:t>
            </w:r>
          </w:p>
          <w:p>
            <w:pPr>
              <w:pStyle w:val="55"/>
              <w:numPr>
                <w:ilvl w:val="0"/>
                <w:numId w:val="6"/>
              </w:numPr>
              <w:spacing w:line="240" w:lineRule="auto"/>
              <w:rPr>
                <w:rFonts w:cs="宋体"/>
                <w:color w:val="000000"/>
                <w:szCs w:val="24"/>
              </w:rPr>
            </w:pPr>
            <w:r>
              <w:rPr>
                <w:rFonts w:hint="eastAsia" w:cs="宋体"/>
                <w:color w:val="000000"/>
                <w:szCs w:val="24"/>
              </w:rPr>
              <w:t>操作系统层漏洞识修复</w:t>
            </w:r>
          </w:p>
          <w:p>
            <w:pPr>
              <w:spacing w:line="240" w:lineRule="auto"/>
              <w:rPr>
                <w:rFonts w:hint="eastAsia" w:cs="宋体"/>
                <w:color w:val="000000"/>
                <w:szCs w:val="24"/>
              </w:rPr>
            </w:pPr>
            <w:r>
              <w:rPr>
                <w:rFonts w:hint="eastAsia" w:cs="宋体"/>
                <w:color w:val="000000"/>
                <w:szCs w:val="24"/>
              </w:rPr>
              <w:t>1. 操作系统（包括Windows、AIX和Linux、VMware等）的系统补丁、漏洞、病毒等各类异常缺陷修复。</w:t>
            </w:r>
            <w:r>
              <w:rPr>
                <w:rFonts w:hint="eastAsia" w:cs="宋体"/>
                <w:color w:val="000000"/>
                <w:szCs w:val="24"/>
              </w:rPr>
              <w:br w:type="textWrapping"/>
            </w:r>
            <w:r>
              <w:rPr>
                <w:rFonts w:hint="eastAsia" w:cs="宋体"/>
                <w:color w:val="000000"/>
                <w:szCs w:val="24"/>
              </w:rPr>
              <w:t>2. 空/弱口令系统帐户调整。</w:t>
            </w:r>
            <w:r>
              <w:rPr>
                <w:rFonts w:hint="eastAsia" w:cs="宋体"/>
                <w:color w:val="000000"/>
                <w:szCs w:val="24"/>
              </w:rPr>
              <w:br w:type="textWrapping"/>
            </w:r>
            <w:r>
              <w:rPr>
                <w:rFonts w:hint="eastAsia" w:cs="宋体"/>
                <w:color w:val="000000"/>
                <w:szCs w:val="24"/>
              </w:rPr>
              <w:t>3. 身份认证：通过telnet进行口令猜测漏洞修复。</w:t>
            </w:r>
            <w:r>
              <w:rPr>
                <w:rFonts w:hint="eastAsia" w:cs="宋体"/>
                <w:color w:val="000000"/>
                <w:szCs w:val="24"/>
              </w:rPr>
              <w:br w:type="textWrapping"/>
            </w:r>
            <w:r>
              <w:rPr>
                <w:rFonts w:hint="eastAsia" w:cs="宋体"/>
                <w:color w:val="000000"/>
                <w:szCs w:val="24"/>
              </w:rPr>
              <w:t>4. 访问控制：注册表普通用户可写，远程主机允许匿名FTP登录，ftp服务器存在匿名可写目录等漏洞修复；</w:t>
            </w:r>
            <w:r>
              <w:rPr>
                <w:rFonts w:hint="eastAsia" w:cs="宋体"/>
                <w:color w:val="000000"/>
                <w:szCs w:val="24"/>
              </w:rPr>
              <w:br w:type="textWrapping"/>
            </w:r>
            <w:r>
              <w:rPr>
                <w:rFonts w:hint="eastAsia" w:cs="宋体"/>
                <w:color w:val="000000"/>
                <w:szCs w:val="24"/>
              </w:rPr>
              <w:t>5. 系统漏洞：远程缓冲区溢出漏洞，服务远程缓冲区溢出漏洞修复</w:t>
            </w:r>
            <w:r>
              <w:rPr>
                <w:rFonts w:hint="eastAsia" w:cs="宋体"/>
                <w:color w:val="000000"/>
                <w:szCs w:val="24"/>
              </w:rPr>
              <w:br w:type="textWrapping"/>
            </w:r>
            <w:r>
              <w:rPr>
                <w:rFonts w:hint="eastAsia" w:cs="宋体"/>
                <w:color w:val="000000"/>
                <w:szCs w:val="24"/>
              </w:rPr>
              <w:t>6. 安全配置问题：部分SMB用户存在薄弱口令，试图使用rsh登录进入远程系统漏洞修复；</w:t>
            </w:r>
          </w:p>
          <w:p>
            <w:pPr>
              <w:pStyle w:val="55"/>
              <w:numPr>
                <w:ilvl w:val="0"/>
                <w:numId w:val="6"/>
              </w:numPr>
              <w:spacing w:line="240" w:lineRule="auto"/>
              <w:rPr>
                <w:rFonts w:cs="宋体"/>
                <w:color w:val="000000"/>
                <w:szCs w:val="24"/>
              </w:rPr>
            </w:pPr>
            <w:r>
              <w:rPr>
                <w:rFonts w:hint="eastAsia" w:cs="宋体"/>
                <w:color w:val="000000"/>
                <w:szCs w:val="24"/>
              </w:rPr>
              <w:t>应用层漏洞识别</w:t>
            </w:r>
          </w:p>
          <w:p>
            <w:pPr>
              <w:spacing w:line="240" w:lineRule="auto"/>
              <w:rPr>
                <w:rFonts w:hint="eastAsia" w:cs="宋体"/>
                <w:color w:val="000000"/>
                <w:szCs w:val="24"/>
              </w:rPr>
            </w:pPr>
            <w:r>
              <w:rPr>
                <w:rFonts w:hint="eastAsia" w:cs="宋体"/>
                <w:color w:val="000000"/>
                <w:szCs w:val="24"/>
              </w:rPr>
              <w:t>1. 应用程序（包括但不限于数据库Oracle、DB2、MS SQL，Web服务，如Apache、Tomcat、IIS等，其他SSH、FTP等）版本漏洞修复</w:t>
            </w:r>
            <w:r>
              <w:rPr>
                <w:rFonts w:hint="eastAsia" w:cs="宋体"/>
                <w:color w:val="000000"/>
                <w:szCs w:val="24"/>
              </w:rPr>
              <w:br w:type="textWrapping"/>
            </w:r>
            <w:r>
              <w:rPr>
                <w:rFonts w:hint="eastAsia" w:cs="宋体"/>
                <w:color w:val="000000"/>
                <w:szCs w:val="24"/>
              </w:rPr>
              <w:t>2. 空弱口令应用帐户调整；</w:t>
            </w:r>
            <w:r>
              <w:rPr>
                <w:rFonts w:hint="eastAsia" w:cs="宋体"/>
                <w:color w:val="000000"/>
                <w:szCs w:val="24"/>
              </w:rPr>
              <w:br w:type="textWrapping"/>
            </w:r>
            <w:r>
              <w:rPr>
                <w:rFonts w:hint="eastAsia" w:cs="宋体"/>
                <w:color w:val="000000"/>
                <w:szCs w:val="24"/>
              </w:rPr>
              <w:t>3. 数据库软件漏洞修复；</w:t>
            </w:r>
            <w:r>
              <w:rPr>
                <w:rFonts w:hint="eastAsia" w:cs="宋体"/>
                <w:color w:val="000000"/>
                <w:szCs w:val="24"/>
              </w:rPr>
              <w:br w:type="textWrapping"/>
            </w:r>
            <w:r>
              <w:rPr>
                <w:rFonts w:hint="eastAsia" w:cs="宋体"/>
                <w:color w:val="000000"/>
                <w:szCs w:val="24"/>
              </w:rPr>
              <w:t>4. Web服务器：远程缓冲区溢出漏洞，远程缓冲区溢出，服务程序分块编码传输漏洞修复；</w:t>
            </w:r>
            <w:r>
              <w:rPr>
                <w:rFonts w:hint="eastAsia" w:cs="宋体"/>
                <w:color w:val="000000"/>
                <w:szCs w:val="24"/>
              </w:rPr>
              <w:br w:type="textWrapping"/>
            </w:r>
            <w:r>
              <w:rPr>
                <w:rFonts w:hint="eastAsia" w:cs="宋体"/>
                <w:color w:val="000000"/>
                <w:szCs w:val="24"/>
              </w:rPr>
              <w:t>5. 电子邮件系统：头处理远程溢出漏洞，SMTP服务认证错误漏洞修复；</w:t>
            </w:r>
            <w:r>
              <w:rPr>
                <w:rFonts w:hint="eastAsia" w:cs="宋体"/>
                <w:color w:val="000000"/>
                <w:szCs w:val="24"/>
              </w:rPr>
              <w:br w:type="textWrapping"/>
            </w:r>
            <w:r>
              <w:rPr>
                <w:rFonts w:hint="eastAsia" w:cs="宋体"/>
                <w:color w:val="000000"/>
                <w:szCs w:val="24"/>
              </w:rPr>
              <w:t>6. 防火墙及应用网管系统：防火墙拒绝服务漏洞修复；</w:t>
            </w:r>
          </w:p>
        </w:tc>
      </w:tr>
      <w:tr>
        <w:tblPrEx>
          <w:tblLayout w:type="fixed"/>
          <w:tblCellMar>
            <w:top w:w="0" w:type="dxa"/>
            <w:left w:w="108" w:type="dxa"/>
            <w:bottom w:w="0" w:type="dxa"/>
            <w:right w:w="108" w:type="dxa"/>
          </w:tblCellMar>
        </w:tblPrEx>
        <w:trPr>
          <w:trHeight w:val="864" w:hRule="atLeast"/>
        </w:trPr>
        <w:tc>
          <w:tcPr>
            <w:tcW w:w="837" w:type="dxa"/>
            <w:tcBorders>
              <w:top w:val="nil"/>
              <w:left w:val="single" w:color="auto" w:sz="4" w:space="0"/>
              <w:bottom w:val="single" w:color="auto" w:sz="4" w:space="0"/>
              <w:right w:val="single" w:color="auto" w:sz="4" w:space="0"/>
            </w:tcBorders>
            <w:noWrap/>
            <w:vAlign w:val="center"/>
          </w:tcPr>
          <w:p>
            <w:pPr>
              <w:spacing w:line="240" w:lineRule="auto"/>
              <w:jc w:val="center"/>
              <w:rPr>
                <w:rFonts w:hint="eastAsia" w:cs="宋体"/>
                <w:color w:val="000000"/>
                <w:szCs w:val="24"/>
              </w:rPr>
            </w:pPr>
            <w:r>
              <w:rPr>
                <w:rFonts w:hint="eastAsia" w:cs="宋体"/>
                <w:color w:val="000000"/>
                <w:szCs w:val="24"/>
              </w:rPr>
              <w:t>4</w:t>
            </w:r>
          </w:p>
        </w:tc>
        <w:tc>
          <w:tcPr>
            <w:tcW w:w="1778" w:type="dxa"/>
            <w:tcBorders>
              <w:top w:val="nil"/>
              <w:left w:val="nil"/>
              <w:bottom w:val="single" w:color="auto" w:sz="4" w:space="0"/>
              <w:right w:val="single" w:color="auto" w:sz="4" w:space="0"/>
            </w:tcBorders>
            <w:noWrap/>
            <w:vAlign w:val="center"/>
          </w:tcPr>
          <w:p>
            <w:pPr>
              <w:spacing w:line="240" w:lineRule="auto"/>
              <w:jc w:val="center"/>
              <w:rPr>
                <w:rFonts w:hint="eastAsia" w:cs="宋体"/>
                <w:color w:val="000000"/>
                <w:szCs w:val="24"/>
              </w:rPr>
            </w:pPr>
            <w:r>
              <w:rPr>
                <w:rFonts w:hint="eastAsia" w:cs="宋体"/>
                <w:color w:val="000000"/>
                <w:szCs w:val="24"/>
              </w:rPr>
              <w:t>服务交付</w:t>
            </w:r>
          </w:p>
        </w:tc>
        <w:tc>
          <w:tcPr>
            <w:tcW w:w="5908" w:type="dxa"/>
            <w:tcBorders>
              <w:top w:val="nil"/>
              <w:left w:val="nil"/>
              <w:bottom w:val="single" w:color="auto" w:sz="4" w:space="0"/>
              <w:right w:val="single" w:color="auto" w:sz="4" w:space="0"/>
            </w:tcBorders>
            <w:vAlign w:val="center"/>
          </w:tcPr>
          <w:p>
            <w:pPr>
              <w:spacing w:line="240" w:lineRule="auto"/>
              <w:rPr>
                <w:rFonts w:hint="eastAsia" w:cs="宋体"/>
                <w:color w:val="000000"/>
                <w:szCs w:val="24"/>
              </w:rPr>
            </w:pPr>
            <w:r>
              <w:rPr>
                <w:rFonts w:hint="eastAsia" w:cs="宋体"/>
                <w:color w:val="000000"/>
                <w:szCs w:val="24"/>
              </w:rPr>
              <w:t>服务完成后，服务人员需在院方规定时间范围内输出《漏洞修复服务报告》，报告详细描述每次服务修复的漏洞数量、修复方式、未修复漏洞遗留情况、原因等内容。</w:t>
            </w:r>
          </w:p>
        </w:tc>
      </w:tr>
    </w:tbl>
    <w:p>
      <w:pPr>
        <w:rPr>
          <w:rFonts w:hint="eastAsia"/>
          <w:szCs w:val="24"/>
        </w:rPr>
      </w:pPr>
    </w:p>
    <w:p>
      <w:pPr>
        <w:rPr>
          <w:rFonts w:hint="eastAsia"/>
          <w:szCs w:val="24"/>
        </w:rPr>
      </w:pPr>
    </w:p>
    <w:p>
      <w:pPr>
        <w:pStyle w:val="5"/>
        <w:rPr>
          <w:color w:val="000000" w:themeColor="text1"/>
          <w14:textFill>
            <w14:solidFill>
              <w14:schemeClr w14:val="tx1"/>
            </w14:solidFill>
          </w14:textFill>
        </w:rPr>
      </w:pPr>
      <w:r>
        <w:rPr>
          <w:rFonts w:hint="eastAsia"/>
          <w:color w:val="000000" w:themeColor="text1"/>
          <w14:textFill>
            <w14:solidFill>
              <w14:schemeClr w14:val="tx1"/>
            </w14:solidFill>
          </w14:textFill>
        </w:rPr>
        <w:t>渗透测试服务</w:t>
      </w:r>
    </w:p>
    <w:tbl>
      <w:tblPr>
        <w:tblStyle w:val="33"/>
        <w:tblW w:w="8523" w:type="dxa"/>
        <w:tblInd w:w="0" w:type="dxa"/>
        <w:tblLayout w:type="fixed"/>
        <w:tblCellMar>
          <w:top w:w="0" w:type="dxa"/>
          <w:left w:w="108" w:type="dxa"/>
          <w:bottom w:w="0" w:type="dxa"/>
          <w:right w:w="108" w:type="dxa"/>
        </w:tblCellMar>
      </w:tblPr>
      <w:tblGrid>
        <w:gridCol w:w="837"/>
        <w:gridCol w:w="1778"/>
        <w:gridCol w:w="5908"/>
      </w:tblGrid>
      <w:tr>
        <w:tblPrEx>
          <w:tblLayout w:type="fixed"/>
          <w:tblCellMar>
            <w:top w:w="0" w:type="dxa"/>
            <w:left w:w="108" w:type="dxa"/>
            <w:bottom w:w="0" w:type="dxa"/>
            <w:right w:w="108" w:type="dxa"/>
          </w:tblCellMar>
        </w:tblPrEx>
        <w:trPr>
          <w:trHeight w:val="288" w:hRule="atLeast"/>
        </w:trPr>
        <w:tc>
          <w:tcPr>
            <w:tcW w:w="837" w:type="dxa"/>
            <w:tcBorders>
              <w:top w:val="single" w:color="auto" w:sz="4" w:space="0"/>
              <w:left w:val="single" w:color="auto" w:sz="4" w:space="0"/>
              <w:bottom w:val="single" w:color="auto" w:sz="4" w:space="0"/>
              <w:right w:val="single" w:color="auto" w:sz="4" w:space="0"/>
            </w:tcBorders>
            <w:noWrap/>
            <w:vAlign w:val="center"/>
          </w:tcPr>
          <w:p>
            <w:pPr>
              <w:spacing w:line="240" w:lineRule="auto"/>
              <w:jc w:val="center"/>
              <w:rPr>
                <w:rFonts w:hint="eastAsia" w:cs="宋体"/>
                <w:b/>
                <w:bCs/>
                <w:color w:val="000000"/>
                <w:szCs w:val="24"/>
              </w:rPr>
            </w:pPr>
            <w:r>
              <w:rPr>
                <w:rFonts w:hint="eastAsia" w:cs="宋体"/>
                <w:b/>
                <w:bCs/>
                <w:color w:val="000000"/>
                <w:szCs w:val="24"/>
              </w:rPr>
              <w:t>序号</w:t>
            </w:r>
          </w:p>
        </w:tc>
        <w:tc>
          <w:tcPr>
            <w:tcW w:w="1778" w:type="dxa"/>
            <w:tcBorders>
              <w:top w:val="single" w:color="auto" w:sz="4" w:space="0"/>
              <w:left w:val="nil"/>
              <w:bottom w:val="single" w:color="auto" w:sz="4" w:space="0"/>
              <w:right w:val="single" w:color="auto" w:sz="4" w:space="0"/>
            </w:tcBorders>
            <w:noWrap/>
            <w:vAlign w:val="center"/>
          </w:tcPr>
          <w:p>
            <w:pPr>
              <w:spacing w:line="240" w:lineRule="auto"/>
              <w:jc w:val="center"/>
              <w:rPr>
                <w:rFonts w:hint="eastAsia" w:cs="宋体"/>
                <w:b/>
                <w:bCs/>
                <w:color w:val="000000"/>
                <w:szCs w:val="24"/>
              </w:rPr>
            </w:pPr>
            <w:r>
              <w:rPr>
                <w:rFonts w:hint="eastAsia" w:cs="宋体"/>
                <w:b/>
                <w:bCs/>
                <w:color w:val="000000"/>
                <w:szCs w:val="24"/>
              </w:rPr>
              <w:t>指标项</w:t>
            </w:r>
          </w:p>
        </w:tc>
        <w:tc>
          <w:tcPr>
            <w:tcW w:w="5908" w:type="dxa"/>
            <w:tcBorders>
              <w:top w:val="single" w:color="auto" w:sz="4" w:space="0"/>
              <w:left w:val="nil"/>
              <w:bottom w:val="single" w:color="auto" w:sz="4" w:space="0"/>
              <w:right w:val="single" w:color="auto" w:sz="4" w:space="0"/>
            </w:tcBorders>
            <w:vAlign w:val="center"/>
          </w:tcPr>
          <w:p>
            <w:pPr>
              <w:spacing w:line="240" w:lineRule="auto"/>
              <w:jc w:val="center"/>
              <w:rPr>
                <w:rFonts w:hint="eastAsia" w:cs="宋体"/>
                <w:b/>
                <w:bCs/>
                <w:color w:val="000000"/>
                <w:szCs w:val="24"/>
              </w:rPr>
            </w:pPr>
            <w:r>
              <w:rPr>
                <w:rFonts w:hint="eastAsia" w:cs="宋体"/>
                <w:b/>
                <w:bCs/>
                <w:color w:val="000000"/>
                <w:szCs w:val="24"/>
              </w:rPr>
              <w:t>指标要求</w:t>
            </w:r>
          </w:p>
        </w:tc>
      </w:tr>
      <w:tr>
        <w:tblPrEx>
          <w:tblLayout w:type="fixed"/>
          <w:tblCellMar>
            <w:top w:w="0" w:type="dxa"/>
            <w:left w:w="108" w:type="dxa"/>
            <w:bottom w:w="0" w:type="dxa"/>
            <w:right w:w="108" w:type="dxa"/>
          </w:tblCellMar>
        </w:tblPrEx>
        <w:trPr>
          <w:trHeight w:val="288" w:hRule="atLeast"/>
        </w:trPr>
        <w:tc>
          <w:tcPr>
            <w:tcW w:w="837" w:type="dxa"/>
            <w:tcBorders>
              <w:top w:val="nil"/>
              <w:left w:val="single" w:color="auto" w:sz="4" w:space="0"/>
              <w:bottom w:val="single" w:color="auto" w:sz="4" w:space="0"/>
              <w:right w:val="single" w:color="auto" w:sz="4" w:space="0"/>
            </w:tcBorders>
            <w:noWrap/>
            <w:vAlign w:val="center"/>
          </w:tcPr>
          <w:p>
            <w:pPr>
              <w:spacing w:line="240" w:lineRule="auto"/>
              <w:jc w:val="center"/>
              <w:rPr>
                <w:rFonts w:hint="eastAsia" w:cs="宋体"/>
                <w:color w:val="000000"/>
                <w:szCs w:val="24"/>
              </w:rPr>
            </w:pPr>
            <w:r>
              <w:rPr>
                <w:rFonts w:hint="eastAsia" w:cs="宋体"/>
                <w:color w:val="000000"/>
                <w:szCs w:val="24"/>
              </w:rPr>
              <w:t>1</w:t>
            </w:r>
          </w:p>
        </w:tc>
        <w:tc>
          <w:tcPr>
            <w:tcW w:w="1778" w:type="dxa"/>
            <w:tcBorders>
              <w:top w:val="nil"/>
              <w:left w:val="nil"/>
              <w:bottom w:val="single" w:color="auto" w:sz="4" w:space="0"/>
              <w:right w:val="single" w:color="auto" w:sz="4" w:space="0"/>
            </w:tcBorders>
            <w:noWrap/>
            <w:vAlign w:val="center"/>
          </w:tcPr>
          <w:p>
            <w:pPr>
              <w:spacing w:line="240" w:lineRule="auto"/>
              <w:jc w:val="center"/>
              <w:rPr>
                <w:rFonts w:hint="eastAsia" w:cs="宋体"/>
                <w:color w:val="000000"/>
                <w:szCs w:val="24"/>
              </w:rPr>
            </w:pPr>
            <w:r>
              <w:rPr>
                <w:rFonts w:hint="eastAsia" w:cs="宋体"/>
                <w:color w:val="000000"/>
                <w:szCs w:val="24"/>
              </w:rPr>
              <w:t>频次</w:t>
            </w:r>
          </w:p>
        </w:tc>
        <w:tc>
          <w:tcPr>
            <w:tcW w:w="5908" w:type="dxa"/>
            <w:tcBorders>
              <w:top w:val="nil"/>
              <w:left w:val="nil"/>
              <w:bottom w:val="single" w:color="auto" w:sz="4" w:space="0"/>
              <w:right w:val="single" w:color="auto" w:sz="4" w:space="0"/>
            </w:tcBorders>
            <w:vAlign w:val="center"/>
          </w:tcPr>
          <w:p>
            <w:pPr>
              <w:spacing w:line="240" w:lineRule="auto"/>
              <w:rPr>
                <w:rFonts w:hint="eastAsia" w:cs="宋体"/>
                <w:color w:val="000000"/>
                <w:szCs w:val="24"/>
              </w:rPr>
            </w:pPr>
            <w:r>
              <w:rPr>
                <w:rFonts w:hint="eastAsia" w:cs="宋体"/>
                <w:color w:val="000000"/>
                <w:szCs w:val="24"/>
              </w:rPr>
              <w:t>1年</w:t>
            </w:r>
            <w:r>
              <w:rPr>
                <w:rFonts w:hint="eastAsia" w:cs="宋体"/>
                <w:color w:val="000000"/>
                <w:szCs w:val="24"/>
                <w:lang w:val="en-US" w:eastAsia="zh-CN"/>
              </w:rPr>
              <w:t>不少于</w:t>
            </w:r>
            <w:r>
              <w:rPr>
                <w:rFonts w:hint="eastAsia" w:cs="宋体"/>
                <w:color w:val="000000"/>
                <w:szCs w:val="24"/>
              </w:rPr>
              <w:t>10个系统</w:t>
            </w:r>
          </w:p>
        </w:tc>
      </w:tr>
      <w:tr>
        <w:tblPrEx>
          <w:tblLayout w:type="fixed"/>
          <w:tblCellMar>
            <w:top w:w="0" w:type="dxa"/>
            <w:left w:w="108" w:type="dxa"/>
            <w:bottom w:w="0" w:type="dxa"/>
            <w:right w:w="108" w:type="dxa"/>
          </w:tblCellMar>
        </w:tblPrEx>
        <w:trPr>
          <w:trHeight w:val="3744" w:hRule="atLeast"/>
        </w:trPr>
        <w:tc>
          <w:tcPr>
            <w:tcW w:w="837" w:type="dxa"/>
            <w:tcBorders>
              <w:top w:val="nil"/>
              <w:left w:val="single" w:color="auto" w:sz="4" w:space="0"/>
              <w:bottom w:val="single" w:color="auto" w:sz="4" w:space="0"/>
              <w:right w:val="single" w:color="auto" w:sz="4" w:space="0"/>
            </w:tcBorders>
            <w:noWrap/>
            <w:vAlign w:val="center"/>
          </w:tcPr>
          <w:p>
            <w:pPr>
              <w:spacing w:line="240" w:lineRule="auto"/>
              <w:jc w:val="center"/>
              <w:rPr>
                <w:rFonts w:hint="eastAsia" w:cs="宋体"/>
                <w:color w:val="000000"/>
                <w:szCs w:val="24"/>
              </w:rPr>
            </w:pPr>
            <w:r>
              <w:rPr>
                <w:rFonts w:hint="eastAsia" w:cs="宋体"/>
                <w:color w:val="000000"/>
                <w:szCs w:val="24"/>
              </w:rPr>
              <w:t>2</w:t>
            </w:r>
          </w:p>
        </w:tc>
        <w:tc>
          <w:tcPr>
            <w:tcW w:w="1778" w:type="dxa"/>
            <w:tcBorders>
              <w:top w:val="nil"/>
              <w:left w:val="nil"/>
              <w:bottom w:val="single" w:color="auto" w:sz="4" w:space="0"/>
              <w:right w:val="single" w:color="auto" w:sz="4" w:space="0"/>
            </w:tcBorders>
            <w:noWrap/>
            <w:vAlign w:val="center"/>
          </w:tcPr>
          <w:p>
            <w:pPr>
              <w:spacing w:line="240" w:lineRule="auto"/>
              <w:jc w:val="center"/>
              <w:rPr>
                <w:rFonts w:hint="eastAsia" w:cs="宋体"/>
                <w:color w:val="000000"/>
                <w:szCs w:val="24"/>
              </w:rPr>
            </w:pPr>
            <w:r>
              <w:rPr>
                <w:rFonts w:hint="eastAsia" w:cs="宋体"/>
                <w:color w:val="000000"/>
                <w:szCs w:val="24"/>
              </w:rPr>
              <w:t>服务要求</w:t>
            </w:r>
          </w:p>
        </w:tc>
        <w:tc>
          <w:tcPr>
            <w:tcW w:w="5908" w:type="dxa"/>
            <w:tcBorders>
              <w:top w:val="nil"/>
              <w:left w:val="nil"/>
              <w:bottom w:val="single" w:color="auto" w:sz="4" w:space="0"/>
              <w:right w:val="single" w:color="auto" w:sz="4" w:space="0"/>
            </w:tcBorders>
            <w:vAlign w:val="center"/>
          </w:tcPr>
          <w:p>
            <w:pPr>
              <w:spacing w:line="240" w:lineRule="auto"/>
              <w:rPr>
                <w:rFonts w:hint="eastAsia" w:cs="宋体"/>
                <w:color w:val="000000"/>
                <w:szCs w:val="24"/>
              </w:rPr>
            </w:pPr>
            <w:r>
              <w:rPr>
                <w:rFonts w:hint="eastAsia" w:cs="宋体"/>
                <w:color w:val="000000"/>
                <w:szCs w:val="24"/>
              </w:rPr>
              <w:t>1.定期对院内重要业务系统进行渗透测试服务，渗透测试主要是模拟黑客的攻击方法，检测网站、网络协议、网络服务、网络设备、应用系统等各种信息资产所存在的安全隐患和漏洞。</w:t>
            </w:r>
            <w:r>
              <w:rPr>
                <w:rFonts w:hint="eastAsia" w:cs="宋体"/>
                <w:color w:val="000000"/>
                <w:szCs w:val="24"/>
              </w:rPr>
              <w:br w:type="textWrapping"/>
            </w:r>
            <w:r>
              <w:rPr>
                <w:rFonts w:hint="eastAsia" w:cs="宋体"/>
                <w:color w:val="000000"/>
                <w:szCs w:val="24"/>
              </w:rPr>
              <w:t>2.渗透测试服务要求采用黑盒测试方式进行，渗透测试主要分为扫描和人工两部分，依靠带有安全漏洞知识库的网络安全扫描工具以及安全专家对漏洞的深入了解，其特点是能对被评估目标进行覆盖面广泛而且更深度的安全漏洞查找，并且评估环境与被评估对象在线运行的环境完全一致，较真实地反映网站及服务器系统、网络设备、应用系统所存在的安全问题和面临的安全威胁。</w:t>
            </w:r>
            <w:r>
              <w:rPr>
                <w:rFonts w:hint="eastAsia" w:cs="宋体"/>
                <w:color w:val="000000"/>
                <w:szCs w:val="24"/>
              </w:rPr>
              <w:br w:type="textWrapping"/>
            </w:r>
            <w:r>
              <w:rPr>
                <w:rFonts w:hint="eastAsia" w:cs="宋体"/>
                <w:color w:val="000000"/>
                <w:szCs w:val="24"/>
              </w:rPr>
              <w:t>3.在实施渗透测试工作前，对渗透测试服务相关的技术细节进行详细沟通。由此确认渗透测试的方案，方案内容主要包括确认的渗透测试范围、最终对象、测试方式、测试要求的时间等内容。同时，签署渗透测试授权书，确保在授权情况下进行服务。</w:t>
            </w:r>
          </w:p>
        </w:tc>
      </w:tr>
      <w:tr>
        <w:tblPrEx>
          <w:tblLayout w:type="fixed"/>
          <w:tblCellMar>
            <w:top w:w="0" w:type="dxa"/>
            <w:left w:w="108" w:type="dxa"/>
            <w:bottom w:w="0" w:type="dxa"/>
            <w:right w:w="108" w:type="dxa"/>
          </w:tblCellMar>
        </w:tblPrEx>
        <w:trPr>
          <w:trHeight w:val="1440" w:hRule="atLeast"/>
        </w:trPr>
        <w:tc>
          <w:tcPr>
            <w:tcW w:w="837" w:type="dxa"/>
            <w:tcBorders>
              <w:top w:val="nil"/>
              <w:left w:val="single" w:color="auto" w:sz="4" w:space="0"/>
              <w:bottom w:val="single" w:color="auto" w:sz="4" w:space="0"/>
              <w:right w:val="single" w:color="auto" w:sz="4" w:space="0"/>
            </w:tcBorders>
            <w:noWrap/>
            <w:vAlign w:val="center"/>
          </w:tcPr>
          <w:p>
            <w:pPr>
              <w:spacing w:line="240" w:lineRule="auto"/>
              <w:jc w:val="center"/>
              <w:rPr>
                <w:rFonts w:hint="eastAsia" w:cs="宋体"/>
                <w:color w:val="000000"/>
                <w:szCs w:val="24"/>
              </w:rPr>
            </w:pPr>
            <w:r>
              <w:rPr>
                <w:rFonts w:hint="eastAsia" w:cs="宋体"/>
                <w:color w:val="000000"/>
                <w:szCs w:val="24"/>
              </w:rPr>
              <w:t>3</w:t>
            </w:r>
          </w:p>
        </w:tc>
        <w:tc>
          <w:tcPr>
            <w:tcW w:w="1778" w:type="dxa"/>
            <w:tcBorders>
              <w:top w:val="nil"/>
              <w:left w:val="nil"/>
              <w:bottom w:val="single" w:color="auto" w:sz="4" w:space="0"/>
              <w:right w:val="single" w:color="auto" w:sz="4" w:space="0"/>
            </w:tcBorders>
            <w:noWrap/>
            <w:vAlign w:val="center"/>
          </w:tcPr>
          <w:p>
            <w:pPr>
              <w:spacing w:line="240" w:lineRule="auto"/>
              <w:jc w:val="center"/>
              <w:rPr>
                <w:rFonts w:hint="eastAsia" w:cs="宋体"/>
                <w:color w:val="000000"/>
                <w:szCs w:val="24"/>
              </w:rPr>
            </w:pPr>
            <w:r>
              <w:rPr>
                <w:rFonts w:hint="eastAsia" w:cs="宋体"/>
                <w:color w:val="000000"/>
                <w:szCs w:val="24"/>
              </w:rPr>
              <w:t>服务交付</w:t>
            </w:r>
          </w:p>
        </w:tc>
        <w:tc>
          <w:tcPr>
            <w:tcW w:w="5908" w:type="dxa"/>
            <w:tcBorders>
              <w:top w:val="nil"/>
              <w:left w:val="nil"/>
              <w:bottom w:val="single" w:color="auto" w:sz="4" w:space="0"/>
              <w:right w:val="single" w:color="auto" w:sz="4" w:space="0"/>
            </w:tcBorders>
            <w:vAlign w:val="center"/>
          </w:tcPr>
          <w:p>
            <w:pPr>
              <w:spacing w:line="240" w:lineRule="auto"/>
              <w:rPr>
                <w:rFonts w:hint="eastAsia" w:cs="宋体"/>
                <w:color w:val="000000"/>
                <w:szCs w:val="24"/>
              </w:rPr>
            </w:pPr>
            <w:r>
              <w:rPr>
                <w:rFonts w:hint="eastAsia" w:cs="宋体"/>
                <w:color w:val="000000"/>
                <w:szCs w:val="24"/>
              </w:rPr>
              <w:t>服务完成后根据测试结果，服务人员需针对每种风险进行详细描述，描述内容至少包括了测试范围、过程、使用的技术手段以及获得的成果。除此之外，测试人员还需结合测试目标的具体风险内容编写解决方案和相关的安全建议，为管理员的维护和修补工作提供参考。输出如下报告：《XX系统渗透测试报告》</w:t>
            </w:r>
          </w:p>
        </w:tc>
      </w:tr>
    </w:tbl>
    <w:p>
      <w:pPr>
        <w:rPr>
          <w:rFonts w:hint="eastAsia"/>
          <w:szCs w:val="21"/>
        </w:rPr>
      </w:pPr>
    </w:p>
    <w:p>
      <w:pPr>
        <w:pStyle w:val="5"/>
        <w:rPr>
          <w:color w:val="000000" w:themeColor="text1"/>
          <w14:textFill>
            <w14:solidFill>
              <w14:schemeClr w14:val="tx1"/>
            </w14:solidFill>
          </w14:textFill>
        </w:rPr>
      </w:pPr>
      <w:r>
        <w:rPr>
          <w:rFonts w:hint="eastAsia"/>
          <w:color w:val="000000" w:themeColor="text1"/>
          <w14:textFill>
            <w14:solidFill>
              <w14:schemeClr w14:val="tx1"/>
            </w14:solidFill>
          </w14:textFill>
        </w:rPr>
        <w:t>应急演练服务</w:t>
      </w:r>
    </w:p>
    <w:tbl>
      <w:tblPr>
        <w:tblStyle w:val="33"/>
        <w:tblW w:w="8523" w:type="dxa"/>
        <w:tblInd w:w="0" w:type="dxa"/>
        <w:tblLayout w:type="fixed"/>
        <w:tblCellMar>
          <w:top w:w="0" w:type="dxa"/>
          <w:left w:w="108" w:type="dxa"/>
          <w:bottom w:w="0" w:type="dxa"/>
          <w:right w:w="108" w:type="dxa"/>
        </w:tblCellMar>
      </w:tblPr>
      <w:tblGrid>
        <w:gridCol w:w="837"/>
        <w:gridCol w:w="1778"/>
        <w:gridCol w:w="5908"/>
      </w:tblGrid>
      <w:tr>
        <w:tblPrEx>
          <w:tblLayout w:type="fixed"/>
          <w:tblCellMar>
            <w:top w:w="0" w:type="dxa"/>
            <w:left w:w="108" w:type="dxa"/>
            <w:bottom w:w="0" w:type="dxa"/>
            <w:right w:w="108" w:type="dxa"/>
          </w:tblCellMar>
        </w:tblPrEx>
        <w:trPr>
          <w:trHeight w:val="288" w:hRule="atLeast"/>
        </w:trPr>
        <w:tc>
          <w:tcPr>
            <w:tcW w:w="837" w:type="dxa"/>
            <w:tcBorders>
              <w:top w:val="single" w:color="auto" w:sz="4" w:space="0"/>
              <w:left w:val="single" w:color="auto" w:sz="4" w:space="0"/>
              <w:bottom w:val="single" w:color="auto" w:sz="4" w:space="0"/>
              <w:right w:val="single" w:color="auto" w:sz="4" w:space="0"/>
            </w:tcBorders>
            <w:noWrap/>
            <w:vAlign w:val="center"/>
          </w:tcPr>
          <w:p>
            <w:pPr>
              <w:spacing w:line="240" w:lineRule="auto"/>
              <w:jc w:val="center"/>
              <w:rPr>
                <w:rFonts w:hint="eastAsia" w:cs="宋体"/>
                <w:b/>
                <w:bCs/>
                <w:color w:val="000000"/>
                <w:szCs w:val="24"/>
              </w:rPr>
            </w:pPr>
            <w:r>
              <w:rPr>
                <w:rFonts w:hint="eastAsia" w:cs="宋体"/>
                <w:b/>
                <w:bCs/>
                <w:color w:val="000000"/>
                <w:szCs w:val="24"/>
              </w:rPr>
              <w:t>序号</w:t>
            </w:r>
          </w:p>
        </w:tc>
        <w:tc>
          <w:tcPr>
            <w:tcW w:w="1778" w:type="dxa"/>
            <w:tcBorders>
              <w:top w:val="single" w:color="auto" w:sz="4" w:space="0"/>
              <w:left w:val="nil"/>
              <w:bottom w:val="single" w:color="auto" w:sz="4" w:space="0"/>
              <w:right w:val="single" w:color="auto" w:sz="4" w:space="0"/>
            </w:tcBorders>
            <w:noWrap/>
            <w:vAlign w:val="center"/>
          </w:tcPr>
          <w:p>
            <w:pPr>
              <w:spacing w:line="240" w:lineRule="auto"/>
              <w:jc w:val="center"/>
              <w:rPr>
                <w:rFonts w:hint="eastAsia" w:cs="宋体"/>
                <w:b/>
                <w:bCs/>
                <w:color w:val="000000"/>
                <w:szCs w:val="24"/>
              </w:rPr>
            </w:pPr>
            <w:r>
              <w:rPr>
                <w:rFonts w:hint="eastAsia" w:cs="宋体"/>
                <w:b/>
                <w:bCs/>
                <w:color w:val="000000"/>
                <w:szCs w:val="24"/>
              </w:rPr>
              <w:t>指标项</w:t>
            </w:r>
          </w:p>
        </w:tc>
        <w:tc>
          <w:tcPr>
            <w:tcW w:w="5908" w:type="dxa"/>
            <w:tcBorders>
              <w:top w:val="single" w:color="auto" w:sz="4" w:space="0"/>
              <w:left w:val="nil"/>
              <w:bottom w:val="single" w:color="auto" w:sz="4" w:space="0"/>
              <w:right w:val="single" w:color="auto" w:sz="4" w:space="0"/>
            </w:tcBorders>
            <w:vAlign w:val="center"/>
          </w:tcPr>
          <w:p>
            <w:pPr>
              <w:spacing w:line="240" w:lineRule="auto"/>
              <w:jc w:val="center"/>
              <w:rPr>
                <w:rFonts w:hint="eastAsia" w:cs="宋体"/>
                <w:b/>
                <w:bCs/>
                <w:color w:val="000000"/>
                <w:szCs w:val="24"/>
              </w:rPr>
            </w:pPr>
            <w:r>
              <w:rPr>
                <w:rFonts w:hint="eastAsia" w:cs="宋体"/>
                <w:b/>
                <w:bCs/>
                <w:color w:val="000000"/>
                <w:szCs w:val="24"/>
              </w:rPr>
              <w:t>指标要求</w:t>
            </w:r>
          </w:p>
        </w:tc>
      </w:tr>
      <w:tr>
        <w:tblPrEx>
          <w:tblLayout w:type="fixed"/>
          <w:tblCellMar>
            <w:top w:w="0" w:type="dxa"/>
            <w:left w:w="108" w:type="dxa"/>
            <w:bottom w:w="0" w:type="dxa"/>
            <w:right w:w="108" w:type="dxa"/>
          </w:tblCellMar>
        </w:tblPrEx>
        <w:trPr>
          <w:trHeight w:val="288" w:hRule="atLeast"/>
        </w:trPr>
        <w:tc>
          <w:tcPr>
            <w:tcW w:w="837" w:type="dxa"/>
            <w:tcBorders>
              <w:top w:val="nil"/>
              <w:left w:val="single" w:color="auto" w:sz="4" w:space="0"/>
              <w:bottom w:val="single" w:color="auto" w:sz="4" w:space="0"/>
              <w:right w:val="single" w:color="auto" w:sz="4" w:space="0"/>
            </w:tcBorders>
            <w:noWrap/>
            <w:vAlign w:val="center"/>
          </w:tcPr>
          <w:p>
            <w:pPr>
              <w:spacing w:line="240" w:lineRule="auto"/>
              <w:jc w:val="center"/>
              <w:rPr>
                <w:rFonts w:hint="eastAsia" w:cs="宋体"/>
                <w:color w:val="000000"/>
                <w:szCs w:val="24"/>
              </w:rPr>
            </w:pPr>
            <w:r>
              <w:rPr>
                <w:rFonts w:hint="eastAsia" w:cs="宋体"/>
                <w:color w:val="000000"/>
                <w:szCs w:val="24"/>
              </w:rPr>
              <w:t>1</w:t>
            </w:r>
          </w:p>
        </w:tc>
        <w:tc>
          <w:tcPr>
            <w:tcW w:w="1778" w:type="dxa"/>
            <w:tcBorders>
              <w:top w:val="nil"/>
              <w:left w:val="nil"/>
              <w:bottom w:val="single" w:color="auto" w:sz="4" w:space="0"/>
              <w:right w:val="single" w:color="auto" w:sz="4" w:space="0"/>
            </w:tcBorders>
            <w:noWrap/>
            <w:vAlign w:val="center"/>
          </w:tcPr>
          <w:p>
            <w:pPr>
              <w:spacing w:line="240" w:lineRule="auto"/>
              <w:jc w:val="center"/>
              <w:rPr>
                <w:rFonts w:hint="eastAsia" w:cs="宋体"/>
                <w:color w:val="000000"/>
                <w:szCs w:val="24"/>
              </w:rPr>
            </w:pPr>
            <w:r>
              <w:rPr>
                <w:rFonts w:hint="eastAsia" w:cs="宋体"/>
                <w:color w:val="000000"/>
                <w:szCs w:val="24"/>
              </w:rPr>
              <w:t>频次</w:t>
            </w:r>
          </w:p>
        </w:tc>
        <w:tc>
          <w:tcPr>
            <w:tcW w:w="5908" w:type="dxa"/>
            <w:tcBorders>
              <w:top w:val="nil"/>
              <w:left w:val="nil"/>
              <w:bottom w:val="single" w:color="auto" w:sz="4" w:space="0"/>
              <w:right w:val="single" w:color="auto" w:sz="4" w:space="0"/>
            </w:tcBorders>
            <w:vAlign w:val="center"/>
          </w:tcPr>
          <w:p>
            <w:pPr>
              <w:spacing w:line="240" w:lineRule="auto"/>
              <w:rPr>
                <w:rFonts w:hint="eastAsia" w:cs="宋体"/>
                <w:color w:val="000000"/>
                <w:szCs w:val="24"/>
              </w:rPr>
            </w:pPr>
            <w:r>
              <w:rPr>
                <w:rFonts w:hint="eastAsia" w:cs="宋体"/>
                <w:color w:val="000000"/>
                <w:szCs w:val="24"/>
              </w:rPr>
              <w:t>1年</w:t>
            </w:r>
            <w:r>
              <w:rPr>
                <w:rFonts w:hint="eastAsia" w:cs="宋体"/>
                <w:color w:val="000000"/>
                <w:szCs w:val="24"/>
                <w:lang w:val="en-US" w:eastAsia="zh-CN"/>
              </w:rPr>
              <w:t>不少于4</w:t>
            </w:r>
            <w:r>
              <w:rPr>
                <w:rFonts w:hint="eastAsia" w:cs="宋体"/>
                <w:color w:val="000000"/>
                <w:szCs w:val="24"/>
              </w:rPr>
              <w:t>次</w:t>
            </w:r>
          </w:p>
        </w:tc>
      </w:tr>
      <w:tr>
        <w:tblPrEx>
          <w:tblLayout w:type="fixed"/>
          <w:tblCellMar>
            <w:top w:w="0" w:type="dxa"/>
            <w:left w:w="108" w:type="dxa"/>
            <w:bottom w:w="0" w:type="dxa"/>
            <w:right w:w="108" w:type="dxa"/>
          </w:tblCellMar>
        </w:tblPrEx>
        <w:trPr>
          <w:trHeight w:val="841" w:hRule="atLeast"/>
        </w:trPr>
        <w:tc>
          <w:tcPr>
            <w:tcW w:w="837" w:type="dxa"/>
            <w:tcBorders>
              <w:top w:val="nil"/>
              <w:left w:val="single" w:color="auto" w:sz="4" w:space="0"/>
              <w:bottom w:val="single" w:color="auto" w:sz="4" w:space="0"/>
              <w:right w:val="single" w:color="auto" w:sz="4" w:space="0"/>
            </w:tcBorders>
            <w:noWrap/>
            <w:vAlign w:val="center"/>
          </w:tcPr>
          <w:p>
            <w:pPr>
              <w:spacing w:line="240" w:lineRule="auto"/>
              <w:jc w:val="center"/>
              <w:rPr>
                <w:rFonts w:hint="eastAsia" w:cs="宋体"/>
                <w:color w:val="000000"/>
                <w:szCs w:val="24"/>
              </w:rPr>
            </w:pPr>
            <w:r>
              <w:rPr>
                <w:rFonts w:hint="eastAsia" w:cs="宋体"/>
                <w:color w:val="000000"/>
                <w:szCs w:val="24"/>
              </w:rPr>
              <w:t>2</w:t>
            </w:r>
          </w:p>
        </w:tc>
        <w:tc>
          <w:tcPr>
            <w:tcW w:w="1778" w:type="dxa"/>
            <w:tcBorders>
              <w:top w:val="nil"/>
              <w:left w:val="nil"/>
              <w:bottom w:val="single" w:color="auto" w:sz="4" w:space="0"/>
              <w:right w:val="single" w:color="auto" w:sz="4" w:space="0"/>
            </w:tcBorders>
            <w:noWrap/>
            <w:vAlign w:val="center"/>
          </w:tcPr>
          <w:p>
            <w:pPr>
              <w:spacing w:line="240" w:lineRule="auto"/>
              <w:jc w:val="center"/>
              <w:rPr>
                <w:rFonts w:hint="eastAsia" w:cs="宋体"/>
                <w:color w:val="000000"/>
                <w:szCs w:val="24"/>
              </w:rPr>
            </w:pPr>
            <w:r>
              <w:rPr>
                <w:rFonts w:hint="eastAsia" w:cs="宋体"/>
                <w:color w:val="000000"/>
                <w:szCs w:val="24"/>
              </w:rPr>
              <w:t>服务要求</w:t>
            </w:r>
          </w:p>
        </w:tc>
        <w:tc>
          <w:tcPr>
            <w:tcW w:w="5908" w:type="dxa"/>
            <w:tcBorders>
              <w:top w:val="nil"/>
              <w:left w:val="nil"/>
              <w:bottom w:val="single" w:color="auto" w:sz="4" w:space="0"/>
              <w:right w:val="single" w:color="auto" w:sz="4" w:space="0"/>
            </w:tcBorders>
            <w:vAlign w:val="center"/>
          </w:tcPr>
          <w:p>
            <w:pPr>
              <w:spacing w:line="240" w:lineRule="auto"/>
              <w:rPr>
                <w:rFonts w:hint="eastAsia" w:cs="宋体"/>
                <w:color w:val="000000"/>
                <w:szCs w:val="24"/>
              </w:rPr>
            </w:pPr>
            <w:r>
              <w:rPr>
                <w:rFonts w:hint="eastAsia" w:cs="宋体"/>
                <w:color w:val="000000"/>
                <w:szCs w:val="24"/>
              </w:rPr>
              <w:t>每年为院方提供应急演练服务，基于相关事件场景如机房灾害、硬件故障、软件故障、通讯中断、系统故障、安全事件等开展应急演练，检验医院对于突发事件或故障的应对能力，提供应急反应效率、优化医院应急流程。应急演练应按以下流程开展：</w:t>
            </w:r>
            <w:r>
              <w:rPr>
                <w:rFonts w:hint="eastAsia" w:cs="宋体"/>
                <w:color w:val="000000"/>
                <w:szCs w:val="24"/>
              </w:rPr>
              <w:br w:type="textWrapping"/>
            </w:r>
            <w:r>
              <w:rPr>
                <w:rFonts w:hint="eastAsia" w:cs="宋体"/>
                <w:color w:val="000000"/>
                <w:szCs w:val="24"/>
              </w:rPr>
              <w:t>1. 制定应急预案：为医院就各类事件场景制定相关应急预案、包括应急领导小组、人员安排、应急流程、应急措施、触发机制等。</w:t>
            </w:r>
            <w:r>
              <w:rPr>
                <w:rFonts w:hint="eastAsia" w:cs="宋体"/>
                <w:color w:val="000000"/>
                <w:szCs w:val="24"/>
              </w:rPr>
              <w:br w:type="textWrapping"/>
            </w:r>
            <w:r>
              <w:rPr>
                <w:rFonts w:hint="eastAsia" w:cs="宋体"/>
                <w:color w:val="000000"/>
                <w:szCs w:val="24"/>
              </w:rPr>
              <w:t>2. 根据应急预案组织开展医院应急演练，与院方沟通确定应急演练场景主题、时间地点；</w:t>
            </w:r>
            <w:r>
              <w:rPr>
                <w:rFonts w:hint="eastAsia" w:cs="宋体"/>
                <w:color w:val="000000"/>
                <w:szCs w:val="24"/>
              </w:rPr>
              <w:br w:type="textWrapping"/>
            </w:r>
            <w:r>
              <w:rPr>
                <w:rFonts w:hint="eastAsia" w:cs="宋体"/>
                <w:color w:val="000000"/>
                <w:szCs w:val="24"/>
              </w:rPr>
              <w:t>3. 根据确定好的信息制定应急演练计划，并在院方同意后落实演练实施。</w:t>
            </w:r>
            <w:r>
              <w:rPr>
                <w:rFonts w:hint="eastAsia" w:cs="宋体"/>
                <w:color w:val="000000"/>
                <w:szCs w:val="24"/>
              </w:rPr>
              <w:br w:type="textWrapping"/>
            </w:r>
            <w:r>
              <w:rPr>
                <w:rFonts w:hint="eastAsia" w:cs="宋体"/>
                <w:color w:val="000000"/>
                <w:szCs w:val="24"/>
              </w:rPr>
              <w:t>4. 根据应急演练结果对应急演练服务进行总结，找出医院在预案、流程、时效反应上存在的问题，并给出相关优化建议。</w:t>
            </w:r>
          </w:p>
        </w:tc>
      </w:tr>
      <w:tr>
        <w:tblPrEx>
          <w:tblLayout w:type="fixed"/>
          <w:tblCellMar>
            <w:top w:w="0" w:type="dxa"/>
            <w:left w:w="108" w:type="dxa"/>
            <w:bottom w:w="0" w:type="dxa"/>
            <w:right w:w="108" w:type="dxa"/>
          </w:tblCellMar>
        </w:tblPrEx>
        <w:trPr>
          <w:trHeight w:val="864" w:hRule="atLeast"/>
        </w:trPr>
        <w:tc>
          <w:tcPr>
            <w:tcW w:w="837" w:type="dxa"/>
            <w:tcBorders>
              <w:top w:val="nil"/>
              <w:left w:val="single" w:color="auto" w:sz="4" w:space="0"/>
              <w:bottom w:val="single" w:color="auto" w:sz="4" w:space="0"/>
              <w:right w:val="single" w:color="auto" w:sz="4" w:space="0"/>
            </w:tcBorders>
            <w:noWrap/>
            <w:vAlign w:val="center"/>
          </w:tcPr>
          <w:p>
            <w:pPr>
              <w:spacing w:line="240" w:lineRule="auto"/>
              <w:jc w:val="center"/>
              <w:rPr>
                <w:rFonts w:hint="eastAsia" w:cs="宋体"/>
                <w:color w:val="000000"/>
                <w:szCs w:val="24"/>
              </w:rPr>
            </w:pPr>
            <w:r>
              <w:rPr>
                <w:rFonts w:hint="eastAsia" w:cs="宋体"/>
                <w:color w:val="000000"/>
                <w:szCs w:val="24"/>
              </w:rPr>
              <w:t>3</w:t>
            </w:r>
          </w:p>
        </w:tc>
        <w:tc>
          <w:tcPr>
            <w:tcW w:w="1778" w:type="dxa"/>
            <w:tcBorders>
              <w:top w:val="nil"/>
              <w:left w:val="nil"/>
              <w:bottom w:val="single" w:color="auto" w:sz="4" w:space="0"/>
              <w:right w:val="single" w:color="auto" w:sz="4" w:space="0"/>
            </w:tcBorders>
            <w:noWrap/>
            <w:vAlign w:val="center"/>
          </w:tcPr>
          <w:p>
            <w:pPr>
              <w:spacing w:line="240" w:lineRule="auto"/>
              <w:jc w:val="center"/>
              <w:rPr>
                <w:rFonts w:hint="eastAsia" w:cs="宋体"/>
                <w:color w:val="000000"/>
                <w:szCs w:val="24"/>
              </w:rPr>
            </w:pPr>
            <w:r>
              <w:rPr>
                <w:rFonts w:hint="eastAsia" w:cs="宋体"/>
                <w:color w:val="000000"/>
                <w:szCs w:val="24"/>
              </w:rPr>
              <w:t>服务交付</w:t>
            </w:r>
          </w:p>
        </w:tc>
        <w:tc>
          <w:tcPr>
            <w:tcW w:w="5908" w:type="dxa"/>
            <w:tcBorders>
              <w:top w:val="nil"/>
              <w:left w:val="nil"/>
              <w:bottom w:val="single" w:color="auto" w:sz="4" w:space="0"/>
              <w:right w:val="single" w:color="auto" w:sz="4" w:space="0"/>
            </w:tcBorders>
            <w:vAlign w:val="center"/>
          </w:tcPr>
          <w:p>
            <w:pPr>
              <w:spacing w:line="240" w:lineRule="auto"/>
              <w:rPr>
                <w:rFonts w:hint="eastAsia" w:cs="宋体"/>
                <w:color w:val="000000"/>
                <w:szCs w:val="24"/>
              </w:rPr>
            </w:pPr>
            <w:r>
              <w:rPr>
                <w:rFonts w:hint="eastAsia" w:cs="宋体"/>
                <w:color w:val="000000"/>
                <w:szCs w:val="24"/>
              </w:rPr>
              <w:t>为医院制定应急演练预案，并形成标准化文档，根据演练结果输出《应急演练报告》，报告中需详细描述每次演练的场景事件、过程、结果以及存在的问题，对存在的问题给出改进建议，并同步修改预案。</w:t>
            </w:r>
          </w:p>
        </w:tc>
      </w:tr>
    </w:tbl>
    <w:p>
      <w:pPr>
        <w:rPr>
          <w:rFonts w:hint="eastAsia"/>
          <w:szCs w:val="21"/>
        </w:rPr>
      </w:pPr>
    </w:p>
    <w:p>
      <w:pPr>
        <w:pStyle w:val="5"/>
        <w:rPr>
          <w:color w:val="000000" w:themeColor="text1"/>
          <w14:textFill>
            <w14:solidFill>
              <w14:schemeClr w14:val="tx1"/>
            </w14:solidFill>
          </w14:textFill>
        </w:rPr>
      </w:pPr>
      <w:r>
        <w:rPr>
          <w:rFonts w:hint="eastAsia"/>
          <w:color w:val="000000" w:themeColor="text1"/>
          <w14:textFill>
            <w14:solidFill>
              <w14:schemeClr w14:val="tx1"/>
            </w14:solidFill>
          </w14:textFill>
        </w:rPr>
        <w:t>资产梳理服务</w:t>
      </w:r>
    </w:p>
    <w:tbl>
      <w:tblPr>
        <w:tblStyle w:val="33"/>
        <w:tblW w:w="8523" w:type="dxa"/>
        <w:tblInd w:w="0" w:type="dxa"/>
        <w:tblLayout w:type="fixed"/>
        <w:tblCellMar>
          <w:top w:w="0" w:type="dxa"/>
          <w:left w:w="108" w:type="dxa"/>
          <w:bottom w:w="0" w:type="dxa"/>
          <w:right w:w="108" w:type="dxa"/>
        </w:tblCellMar>
      </w:tblPr>
      <w:tblGrid>
        <w:gridCol w:w="837"/>
        <w:gridCol w:w="1778"/>
        <w:gridCol w:w="5908"/>
      </w:tblGrid>
      <w:tr>
        <w:tblPrEx>
          <w:tblLayout w:type="fixed"/>
          <w:tblCellMar>
            <w:top w:w="0" w:type="dxa"/>
            <w:left w:w="108" w:type="dxa"/>
            <w:bottom w:w="0" w:type="dxa"/>
            <w:right w:w="108" w:type="dxa"/>
          </w:tblCellMar>
        </w:tblPrEx>
        <w:trPr>
          <w:trHeight w:val="288" w:hRule="atLeast"/>
        </w:trPr>
        <w:tc>
          <w:tcPr>
            <w:tcW w:w="837" w:type="dxa"/>
            <w:tcBorders>
              <w:top w:val="single" w:color="auto" w:sz="4" w:space="0"/>
              <w:left w:val="single" w:color="auto" w:sz="4" w:space="0"/>
              <w:bottom w:val="single" w:color="auto" w:sz="4" w:space="0"/>
              <w:right w:val="single" w:color="auto" w:sz="4" w:space="0"/>
            </w:tcBorders>
            <w:noWrap/>
            <w:vAlign w:val="center"/>
          </w:tcPr>
          <w:p>
            <w:pPr>
              <w:spacing w:line="240" w:lineRule="auto"/>
              <w:jc w:val="center"/>
              <w:rPr>
                <w:rFonts w:hint="eastAsia" w:cs="宋体"/>
                <w:b/>
                <w:bCs/>
                <w:color w:val="000000"/>
                <w:szCs w:val="24"/>
              </w:rPr>
            </w:pPr>
            <w:r>
              <w:rPr>
                <w:rFonts w:hint="eastAsia" w:cs="宋体"/>
                <w:b/>
                <w:bCs/>
                <w:color w:val="000000"/>
                <w:szCs w:val="24"/>
              </w:rPr>
              <w:t>序号</w:t>
            </w:r>
          </w:p>
        </w:tc>
        <w:tc>
          <w:tcPr>
            <w:tcW w:w="1778" w:type="dxa"/>
            <w:tcBorders>
              <w:top w:val="single" w:color="auto" w:sz="4" w:space="0"/>
              <w:left w:val="nil"/>
              <w:bottom w:val="single" w:color="auto" w:sz="4" w:space="0"/>
              <w:right w:val="single" w:color="auto" w:sz="4" w:space="0"/>
            </w:tcBorders>
            <w:noWrap/>
            <w:vAlign w:val="center"/>
          </w:tcPr>
          <w:p>
            <w:pPr>
              <w:spacing w:line="240" w:lineRule="auto"/>
              <w:jc w:val="center"/>
              <w:rPr>
                <w:rFonts w:hint="eastAsia" w:cs="宋体"/>
                <w:b/>
                <w:bCs/>
                <w:color w:val="000000"/>
                <w:szCs w:val="24"/>
              </w:rPr>
            </w:pPr>
            <w:r>
              <w:rPr>
                <w:rFonts w:hint="eastAsia" w:cs="宋体"/>
                <w:b/>
                <w:bCs/>
                <w:color w:val="000000"/>
                <w:szCs w:val="24"/>
              </w:rPr>
              <w:t>指标项</w:t>
            </w:r>
          </w:p>
        </w:tc>
        <w:tc>
          <w:tcPr>
            <w:tcW w:w="5908" w:type="dxa"/>
            <w:tcBorders>
              <w:top w:val="single" w:color="auto" w:sz="4" w:space="0"/>
              <w:left w:val="nil"/>
              <w:bottom w:val="single" w:color="auto" w:sz="4" w:space="0"/>
              <w:right w:val="single" w:color="auto" w:sz="4" w:space="0"/>
            </w:tcBorders>
            <w:vAlign w:val="center"/>
          </w:tcPr>
          <w:p>
            <w:pPr>
              <w:spacing w:line="240" w:lineRule="auto"/>
              <w:jc w:val="center"/>
              <w:rPr>
                <w:rFonts w:hint="eastAsia" w:cs="宋体"/>
                <w:b/>
                <w:bCs/>
                <w:color w:val="000000"/>
                <w:szCs w:val="24"/>
              </w:rPr>
            </w:pPr>
            <w:r>
              <w:rPr>
                <w:rFonts w:hint="eastAsia" w:cs="宋体"/>
                <w:b/>
                <w:bCs/>
                <w:color w:val="000000"/>
                <w:szCs w:val="24"/>
              </w:rPr>
              <w:t>指标要求</w:t>
            </w:r>
          </w:p>
        </w:tc>
      </w:tr>
      <w:tr>
        <w:tblPrEx>
          <w:tblLayout w:type="fixed"/>
          <w:tblCellMar>
            <w:top w:w="0" w:type="dxa"/>
            <w:left w:w="108" w:type="dxa"/>
            <w:bottom w:w="0" w:type="dxa"/>
            <w:right w:w="108" w:type="dxa"/>
          </w:tblCellMar>
        </w:tblPrEx>
        <w:trPr>
          <w:trHeight w:val="288" w:hRule="atLeast"/>
        </w:trPr>
        <w:tc>
          <w:tcPr>
            <w:tcW w:w="837" w:type="dxa"/>
            <w:tcBorders>
              <w:top w:val="nil"/>
              <w:left w:val="single" w:color="auto" w:sz="4" w:space="0"/>
              <w:bottom w:val="single" w:color="auto" w:sz="4" w:space="0"/>
              <w:right w:val="single" w:color="auto" w:sz="4" w:space="0"/>
            </w:tcBorders>
            <w:noWrap/>
            <w:vAlign w:val="center"/>
          </w:tcPr>
          <w:p>
            <w:pPr>
              <w:spacing w:line="240" w:lineRule="auto"/>
              <w:jc w:val="center"/>
              <w:rPr>
                <w:rFonts w:hint="eastAsia" w:cs="宋体"/>
                <w:color w:val="000000"/>
                <w:szCs w:val="24"/>
              </w:rPr>
            </w:pPr>
            <w:r>
              <w:rPr>
                <w:rFonts w:hint="eastAsia" w:cs="宋体"/>
                <w:color w:val="000000"/>
                <w:szCs w:val="24"/>
              </w:rPr>
              <w:t>1</w:t>
            </w:r>
          </w:p>
        </w:tc>
        <w:tc>
          <w:tcPr>
            <w:tcW w:w="1778" w:type="dxa"/>
            <w:tcBorders>
              <w:top w:val="nil"/>
              <w:left w:val="nil"/>
              <w:bottom w:val="single" w:color="auto" w:sz="4" w:space="0"/>
              <w:right w:val="single" w:color="auto" w:sz="4" w:space="0"/>
            </w:tcBorders>
            <w:noWrap/>
            <w:vAlign w:val="center"/>
          </w:tcPr>
          <w:p>
            <w:pPr>
              <w:spacing w:line="240" w:lineRule="auto"/>
              <w:jc w:val="center"/>
              <w:rPr>
                <w:rFonts w:hint="eastAsia" w:cs="宋体"/>
                <w:color w:val="000000"/>
                <w:szCs w:val="24"/>
              </w:rPr>
            </w:pPr>
            <w:r>
              <w:rPr>
                <w:rFonts w:hint="eastAsia" w:cs="宋体"/>
                <w:color w:val="000000"/>
                <w:szCs w:val="24"/>
              </w:rPr>
              <w:t>服务范围</w:t>
            </w:r>
          </w:p>
        </w:tc>
        <w:tc>
          <w:tcPr>
            <w:tcW w:w="5908" w:type="dxa"/>
            <w:tcBorders>
              <w:top w:val="nil"/>
              <w:left w:val="nil"/>
              <w:bottom w:val="single" w:color="auto" w:sz="4" w:space="0"/>
              <w:right w:val="single" w:color="auto" w:sz="4" w:space="0"/>
            </w:tcBorders>
            <w:vAlign w:val="center"/>
          </w:tcPr>
          <w:p>
            <w:pPr>
              <w:spacing w:line="240" w:lineRule="auto"/>
              <w:rPr>
                <w:rFonts w:hint="eastAsia" w:cs="宋体"/>
                <w:color w:val="000000"/>
                <w:szCs w:val="24"/>
              </w:rPr>
            </w:pPr>
            <w:r>
              <w:rPr>
                <w:rFonts w:hint="eastAsia" w:cs="宋体"/>
                <w:color w:val="000000"/>
                <w:szCs w:val="24"/>
              </w:rPr>
              <w:t>医院业务计算机</w:t>
            </w:r>
          </w:p>
        </w:tc>
      </w:tr>
      <w:tr>
        <w:tblPrEx>
          <w:tblLayout w:type="fixed"/>
          <w:tblCellMar>
            <w:top w:w="0" w:type="dxa"/>
            <w:left w:w="108" w:type="dxa"/>
            <w:bottom w:w="0" w:type="dxa"/>
            <w:right w:w="108" w:type="dxa"/>
          </w:tblCellMar>
        </w:tblPrEx>
        <w:trPr>
          <w:trHeight w:val="2880" w:hRule="atLeast"/>
        </w:trPr>
        <w:tc>
          <w:tcPr>
            <w:tcW w:w="837" w:type="dxa"/>
            <w:tcBorders>
              <w:top w:val="nil"/>
              <w:left w:val="single" w:color="auto" w:sz="4" w:space="0"/>
              <w:bottom w:val="single" w:color="auto" w:sz="4" w:space="0"/>
              <w:right w:val="single" w:color="auto" w:sz="4" w:space="0"/>
            </w:tcBorders>
            <w:noWrap/>
            <w:vAlign w:val="center"/>
          </w:tcPr>
          <w:p>
            <w:pPr>
              <w:spacing w:line="240" w:lineRule="auto"/>
              <w:jc w:val="center"/>
              <w:rPr>
                <w:rFonts w:hint="eastAsia" w:cs="宋体"/>
                <w:color w:val="000000"/>
                <w:szCs w:val="24"/>
              </w:rPr>
            </w:pPr>
            <w:r>
              <w:rPr>
                <w:rFonts w:hint="eastAsia" w:cs="宋体"/>
                <w:color w:val="000000"/>
                <w:szCs w:val="24"/>
              </w:rPr>
              <w:t>2</w:t>
            </w:r>
          </w:p>
        </w:tc>
        <w:tc>
          <w:tcPr>
            <w:tcW w:w="1778" w:type="dxa"/>
            <w:tcBorders>
              <w:top w:val="nil"/>
              <w:left w:val="nil"/>
              <w:bottom w:val="single" w:color="auto" w:sz="4" w:space="0"/>
              <w:right w:val="single" w:color="auto" w:sz="4" w:space="0"/>
            </w:tcBorders>
            <w:noWrap/>
            <w:vAlign w:val="center"/>
          </w:tcPr>
          <w:p>
            <w:pPr>
              <w:spacing w:line="240" w:lineRule="auto"/>
              <w:jc w:val="center"/>
              <w:rPr>
                <w:rFonts w:hint="eastAsia" w:cs="宋体"/>
                <w:color w:val="000000"/>
                <w:szCs w:val="24"/>
              </w:rPr>
            </w:pPr>
            <w:r>
              <w:rPr>
                <w:rFonts w:hint="eastAsia" w:cs="宋体"/>
                <w:color w:val="000000"/>
                <w:szCs w:val="24"/>
              </w:rPr>
              <w:t>服务要求</w:t>
            </w:r>
          </w:p>
        </w:tc>
        <w:tc>
          <w:tcPr>
            <w:tcW w:w="5908" w:type="dxa"/>
            <w:tcBorders>
              <w:top w:val="nil"/>
              <w:left w:val="nil"/>
              <w:bottom w:val="single" w:color="auto" w:sz="4" w:space="0"/>
              <w:right w:val="single" w:color="auto" w:sz="4" w:space="0"/>
            </w:tcBorders>
            <w:vAlign w:val="center"/>
          </w:tcPr>
          <w:p>
            <w:pPr>
              <w:spacing w:line="240" w:lineRule="auto"/>
              <w:rPr>
                <w:rFonts w:hint="eastAsia" w:cs="宋体"/>
                <w:color w:val="000000"/>
                <w:szCs w:val="24"/>
              </w:rPr>
            </w:pPr>
            <w:r>
              <w:rPr>
                <w:rFonts w:hint="eastAsia" w:cs="宋体"/>
                <w:color w:val="000000"/>
                <w:szCs w:val="24"/>
              </w:rPr>
              <w:t>1.本项服务主要是对医院业务计算机资产进行定期梳理，及时了解计算机资产变更情况，掌握资产信息；</w:t>
            </w:r>
            <w:r>
              <w:rPr>
                <w:rFonts w:hint="eastAsia" w:cs="宋体"/>
                <w:color w:val="000000"/>
                <w:szCs w:val="24"/>
              </w:rPr>
              <w:br w:type="textWrapping"/>
            </w:r>
            <w:r>
              <w:rPr>
                <w:rFonts w:hint="eastAsia" w:cs="宋体"/>
                <w:color w:val="000000"/>
                <w:szCs w:val="24"/>
              </w:rPr>
              <w:t>2.通过自动发现和手动记录方式，将各科室业务计算机进行标准化统计和整理，输出清单台账，能准确地定位。与制度管理结合之后可跟踪记录计算机的状态变化。实现终端计算机标准化管理。</w:t>
            </w:r>
            <w:r>
              <w:rPr>
                <w:rFonts w:hint="eastAsia" w:cs="宋体"/>
                <w:color w:val="000000"/>
                <w:szCs w:val="24"/>
              </w:rPr>
              <w:br w:type="textWrapping"/>
            </w:r>
            <w:r>
              <w:rPr>
                <w:rFonts w:hint="eastAsia" w:cs="宋体"/>
                <w:color w:val="000000"/>
                <w:szCs w:val="24"/>
              </w:rPr>
              <w:t>3.对业务计算机物理位置、使用人、IP地址、MAC地址、计算机名、操作系统进行统计。通过服务与管理结合，实时跟踪记录业务终端计算机的状态。在安全运维中，快速找到设备位置。对终端计算机的变更过程进行跟踪，对操作人员、操作时间、等审计信息进行准确记录，使所有的计算机终端都可追溯。</w:t>
            </w:r>
          </w:p>
        </w:tc>
      </w:tr>
      <w:tr>
        <w:tblPrEx>
          <w:tblLayout w:type="fixed"/>
          <w:tblCellMar>
            <w:top w:w="0" w:type="dxa"/>
            <w:left w:w="108" w:type="dxa"/>
            <w:bottom w:w="0" w:type="dxa"/>
            <w:right w:w="108" w:type="dxa"/>
          </w:tblCellMar>
        </w:tblPrEx>
        <w:trPr>
          <w:trHeight w:val="4608" w:hRule="atLeast"/>
        </w:trPr>
        <w:tc>
          <w:tcPr>
            <w:tcW w:w="837" w:type="dxa"/>
            <w:tcBorders>
              <w:top w:val="nil"/>
              <w:left w:val="single" w:color="auto" w:sz="4" w:space="0"/>
              <w:bottom w:val="single" w:color="auto" w:sz="4" w:space="0"/>
              <w:right w:val="single" w:color="auto" w:sz="4" w:space="0"/>
            </w:tcBorders>
            <w:noWrap/>
            <w:vAlign w:val="center"/>
          </w:tcPr>
          <w:p>
            <w:pPr>
              <w:spacing w:line="240" w:lineRule="auto"/>
              <w:jc w:val="center"/>
              <w:rPr>
                <w:rFonts w:hint="eastAsia" w:cs="宋体"/>
                <w:color w:val="000000"/>
                <w:szCs w:val="24"/>
              </w:rPr>
            </w:pPr>
            <w:r>
              <w:rPr>
                <w:rFonts w:hint="eastAsia" w:cs="宋体"/>
                <w:color w:val="000000"/>
                <w:szCs w:val="24"/>
              </w:rPr>
              <w:t>3</w:t>
            </w:r>
          </w:p>
        </w:tc>
        <w:tc>
          <w:tcPr>
            <w:tcW w:w="1778" w:type="dxa"/>
            <w:tcBorders>
              <w:top w:val="nil"/>
              <w:left w:val="nil"/>
              <w:bottom w:val="single" w:color="auto" w:sz="4" w:space="0"/>
              <w:right w:val="single" w:color="auto" w:sz="4" w:space="0"/>
            </w:tcBorders>
            <w:noWrap/>
            <w:vAlign w:val="center"/>
          </w:tcPr>
          <w:p>
            <w:pPr>
              <w:spacing w:line="240" w:lineRule="auto"/>
              <w:jc w:val="center"/>
              <w:rPr>
                <w:rFonts w:hint="eastAsia" w:cs="宋体"/>
                <w:color w:val="000000"/>
                <w:szCs w:val="24"/>
              </w:rPr>
            </w:pPr>
            <w:r>
              <w:rPr>
                <w:rFonts w:hint="eastAsia" w:cs="宋体"/>
                <w:color w:val="000000"/>
                <w:szCs w:val="24"/>
              </w:rPr>
              <w:t>梳理内容</w:t>
            </w:r>
          </w:p>
        </w:tc>
        <w:tc>
          <w:tcPr>
            <w:tcW w:w="5908" w:type="dxa"/>
            <w:tcBorders>
              <w:top w:val="nil"/>
              <w:left w:val="nil"/>
              <w:bottom w:val="single" w:color="auto" w:sz="4" w:space="0"/>
              <w:right w:val="single" w:color="auto" w:sz="4" w:space="0"/>
            </w:tcBorders>
            <w:vAlign w:val="center"/>
          </w:tcPr>
          <w:p>
            <w:pPr>
              <w:spacing w:line="240" w:lineRule="auto"/>
              <w:rPr>
                <w:rFonts w:hint="eastAsia" w:cs="宋体"/>
                <w:color w:val="000000"/>
                <w:szCs w:val="24"/>
              </w:rPr>
            </w:pPr>
            <w:r>
              <w:rPr>
                <w:rFonts w:hint="eastAsia" w:cs="宋体"/>
                <w:color w:val="000000"/>
                <w:szCs w:val="24"/>
              </w:rPr>
              <w:t>具体资产梳理要求如下：</w:t>
            </w:r>
            <w:r>
              <w:rPr>
                <w:rFonts w:hint="eastAsia" w:cs="宋体"/>
                <w:color w:val="000000"/>
                <w:szCs w:val="24"/>
              </w:rPr>
              <w:br w:type="textWrapping"/>
            </w:r>
            <w:r>
              <w:rPr>
                <w:rFonts w:hint="eastAsia" w:cs="宋体"/>
                <w:color w:val="000000"/>
                <w:szCs w:val="24"/>
              </w:rPr>
              <w:t>1. 设备型号与规格：确定主机的硬件型号。</w:t>
            </w:r>
            <w:r>
              <w:rPr>
                <w:rFonts w:hint="eastAsia" w:cs="宋体"/>
                <w:color w:val="000000"/>
                <w:szCs w:val="24"/>
              </w:rPr>
              <w:br w:type="textWrapping"/>
            </w:r>
            <w:r>
              <w:rPr>
                <w:rFonts w:hint="eastAsia" w:cs="宋体"/>
                <w:color w:val="000000"/>
                <w:szCs w:val="24"/>
              </w:rPr>
              <w:t>2. 硬件组件信息：梳理主机硬件组件，如CPU类型、内存容量、硬盘容量及类型等。</w:t>
            </w:r>
            <w:r>
              <w:rPr>
                <w:rFonts w:hint="eastAsia" w:cs="宋体"/>
                <w:color w:val="000000"/>
                <w:szCs w:val="24"/>
              </w:rPr>
              <w:br w:type="textWrapping"/>
            </w:r>
            <w:r>
              <w:rPr>
                <w:rFonts w:hint="eastAsia" w:cs="宋体"/>
                <w:color w:val="000000"/>
                <w:szCs w:val="24"/>
              </w:rPr>
              <w:t>3. 硬件资产的责任人：明确主机硬件设备的责任人，使用人、使用部门；</w:t>
            </w:r>
            <w:r>
              <w:rPr>
                <w:rFonts w:hint="eastAsia" w:cs="宋体"/>
                <w:color w:val="000000"/>
                <w:szCs w:val="24"/>
              </w:rPr>
              <w:br w:type="textWrapping"/>
            </w:r>
            <w:r>
              <w:rPr>
                <w:rFonts w:hint="eastAsia" w:cs="宋体"/>
                <w:color w:val="000000"/>
                <w:szCs w:val="24"/>
              </w:rPr>
              <w:t>4. 操作系统信息：确定主机安装的操作系统类型、操作系统的版本信息。</w:t>
            </w:r>
            <w:r>
              <w:rPr>
                <w:rFonts w:hint="eastAsia" w:cs="宋体"/>
                <w:color w:val="000000"/>
                <w:szCs w:val="24"/>
              </w:rPr>
              <w:br w:type="textWrapping"/>
            </w:r>
            <w:r>
              <w:rPr>
                <w:rFonts w:hint="eastAsia" w:cs="宋体"/>
                <w:color w:val="000000"/>
                <w:szCs w:val="24"/>
              </w:rPr>
              <w:t>5. 应用程序信息：梳理主机上安装的各类应用程序，包括办公软件、应用程序等。</w:t>
            </w:r>
            <w:r>
              <w:rPr>
                <w:rFonts w:hint="eastAsia" w:cs="宋体"/>
                <w:color w:val="000000"/>
                <w:szCs w:val="24"/>
              </w:rPr>
              <w:br w:type="textWrapping"/>
            </w:r>
            <w:r>
              <w:rPr>
                <w:rFonts w:hint="eastAsia" w:cs="宋体"/>
                <w:color w:val="000000"/>
                <w:szCs w:val="24"/>
              </w:rPr>
              <w:t>6. 软件许可证与合规性：检查主机上软件的许可证情况，确保软件的使用符合相关法律法规和软件厂商的要求。</w:t>
            </w:r>
            <w:r>
              <w:rPr>
                <w:rFonts w:hint="eastAsia" w:cs="宋体"/>
                <w:color w:val="000000"/>
                <w:szCs w:val="24"/>
              </w:rPr>
              <w:br w:type="textWrapping"/>
            </w:r>
            <w:r>
              <w:rPr>
                <w:rFonts w:hint="eastAsia" w:cs="宋体"/>
                <w:color w:val="000000"/>
                <w:szCs w:val="24"/>
              </w:rPr>
              <w:t>7. IP地址与子网掩码：确定主机的IP地址分配情况，包括公网IP（如果有）和内网IP。</w:t>
            </w:r>
            <w:r>
              <w:rPr>
                <w:rFonts w:hint="eastAsia" w:cs="宋体"/>
                <w:color w:val="000000"/>
                <w:szCs w:val="24"/>
              </w:rPr>
              <w:br w:type="textWrapping"/>
            </w:r>
            <w:r>
              <w:rPr>
                <w:rFonts w:hint="eastAsia" w:cs="宋体"/>
                <w:color w:val="000000"/>
                <w:szCs w:val="24"/>
              </w:rPr>
              <w:t>8. 网络端口开放情况：梳理主机开放的网络端口，识别出开放的端口有助于评估安全风险，如一些不必要的高危端口是否应该关闭等。</w:t>
            </w:r>
          </w:p>
        </w:tc>
      </w:tr>
      <w:tr>
        <w:tblPrEx>
          <w:tblLayout w:type="fixed"/>
          <w:tblCellMar>
            <w:top w:w="0" w:type="dxa"/>
            <w:left w:w="108" w:type="dxa"/>
            <w:bottom w:w="0" w:type="dxa"/>
            <w:right w:w="108" w:type="dxa"/>
          </w:tblCellMar>
        </w:tblPrEx>
        <w:trPr>
          <w:trHeight w:val="576" w:hRule="atLeast"/>
        </w:trPr>
        <w:tc>
          <w:tcPr>
            <w:tcW w:w="837" w:type="dxa"/>
            <w:tcBorders>
              <w:top w:val="nil"/>
              <w:left w:val="single" w:color="auto" w:sz="4" w:space="0"/>
              <w:bottom w:val="single" w:color="auto" w:sz="4" w:space="0"/>
              <w:right w:val="single" w:color="auto" w:sz="4" w:space="0"/>
            </w:tcBorders>
            <w:noWrap/>
            <w:vAlign w:val="center"/>
          </w:tcPr>
          <w:p>
            <w:pPr>
              <w:spacing w:line="240" w:lineRule="auto"/>
              <w:jc w:val="center"/>
              <w:rPr>
                <w:rFonts w:hint="eastAsia" w:cs="宋体"/>
                <w:color w:val="000000"/>
                <w:szCs w:val="24"/>
              </w:rPr>
            </w:pPr>
            <w:r>
              <w:rPr>
                <w:rFonts w:hint="eastAsia" w:cs="宋体"/>
                <w:color w:val="000000"/>
                <w:szCs w:val="24"/>
              </w:rPr>
              <w:t>4</w:t>
            </w:r>
          </w:p>
        </w:tc>
        <w:tc>
          <w:tcPr>
            <w:tcW w:w="1778" w:type="dxa"/>
            <w:tcBorders>
              <w:top w:val="nil"/>
              <w:left w:val="nil"/>
              <w:bottom w:val="single" w:color="auto" w:sz="4" w:space="0"/>
              <w:right w:val="single" w:color="auto" w:sz="4" w:space="0"/>
            </w:tcBorders>
            <w:noWrap/>
            <w:vAlign w:val="center"/>
          </w:tcPr>
          <w:p>
            <w:pPr>
              <w:spacing w:line="240" w:lineRule="auto"/>
              <w:jc w:val="center"/>
              <w:rPr>
                <w:rFonts w:hint="eastAsia" w:cs="宋体"/>
                <w:color w:val="000000"/>
                <w:szCs w:val="24"/>
              </w:rPr>
            </w:pPr>
            <w:r>
              <w:rPr>
                <w:rFonts w:hint="eastAsia" w:cs="宋体"/>
                <w:color w:val="000000"/>
                <w:szCs w:val="24"/>
              </w:rPr>
              <w:t>服务交付</w:t>
            </w:r>
          </w:p>
        </w:tc>
        <w:tc>
          <w:tcPr>
            <w:tcW w:w="5908" w:type="dxa"/>
            <w:tcBorders>
              <w:top w:val="nil"/>
              <w:left w:val="nil"/>
              <w:bottom w:val="single" w:color="auto" w:sz="4" w:space="0"/>
              <w:right w:val="single" w:color="auto" w:sz="4" w:space="0"/>
            </w:tcBorders>
            <w:vAlign w:val="center"/>
          </w:tcPr>
          <w:p>
            <w:pPr>
              <w:spacing w:line="240" w:lineRule="auto"/>
              <w:rPr>
                <w:rFonts w:hint="eastAsia" w:cs="宋体"/>
                <w:color w:val="000000"/>
                <w:szCs w:val="24"/>
              </w:rPr>
            </w:pPr>
            <w:r>
              <w:rPr>
                <w:rFonts w:hint="eastAsia" w:cs="宋体"/>
                <w:color w:val="000000"/>
                <w:szCs w:val="24"/>
              </w:rPr>
              <w:t>梳理完成后输出《业务计算机资产情况表》，表格内容详细记录上述相关内容。</w:t>
            </w:r>
          </w:p>
        </w:tc>
      </w:tr>
    </w:tbl>
    <w:p>
      <w:pPr>
        <w:rPr>
          <w:rFonts w:hint="eastAsia"/>
          <w:szCs w:val="21"/>
        </w:rPr>
      </w:pPr>
    </w:p>
    <w:p>
      <w:pPr>
        <w:pStyle w:val="5"/>
        <w:rPr>
          <w:color w:val="000000" w:themeColor="text1"/>
          <w14:textFill>
            <w14:solidFill>
              <w14:schemeClr w14:val="tx1"/>
            </w14:solidFill>
          </w14:textFill>
        </w:rPr>
      </w:pPr>
      <w:r>
        <w:rPr>
          <w:rFonts w:hint="eastAsia"/>
          <w:color w:val="000000" w:themeColor="text1"/>
          <w14:textFill>
            <w14:solidFill>
              <w14:schemeClr w14:val="tx1"/>
            </w14:solidFill>
          </w14:textFill>
        </w:rPr>
        <w:t>安全制度建设服务</w:t>
      </w:r>
    </w:p>
    <w:tbl>
      <w:tblPr>
        <w:tblStyle w:val="33"/>
        <w:tblW w:w="8523" w:type="dxa"/>
        <w:tblInd w:w="0" w:type="dxa"/>
        <w:tblLayout w:type="fixed"/>
        <w:tblCellMar>
          <w:top w:w="0" w:type="dxa"/>
          <w:left w:w="108" w:type="dxa"/>
          <w:bottom w:w="0" w:type="dxa"/>
          <w:right w:w="108" w:type="dxa"/>
        </w:tblCellMar>
      </w:tblPr>
      <w:tblGrid>
        <w:gridCol w:w="837"/>
        <w:gridCol w:w="1778"/>
        <w:gridCol w:w="5908"/>
      </w:tblGrid>
      <w:tr>
        <w:tblPrEx>
          <w:tblLayout w:type="fixed"/>
        </w:tblPrEx>
        <w:trPr>
          <w:trHeight w:val="288" w:hRule="atLeast"/>
        </w:trPr>
        <w:tc>
          <w:tcPr>
            <w:tcW w:w="837" w:type="dxa"/>
            <w:tcBorders>
              <w:top w:val="single" w:color="auto" w:sz="4" w:space="0"/>
              <w:left w:val="single" w:color="auto" w:sz="4" w:space="0"/>
              <w:bottom w:val="single" w:color="auto" w:sz="4" w:space="0"/>
              <w:right w:val="single" w:color="auto" w:sz="4" w:space="0"/>
            </w:tcBorders>
            <w:noWrap/>
            <w:vAlign w:val="center"/>
          </w:tcPr>
          <w:p>
            <w:pPr>
              <w:spacing w:line="240" w:lineRule="auto"/>
              <w:jc w:val="center"/>
              <w:rPr>
                <w:rFonts w:hint="eastAsia" w:cs="宋体"/>
                <w:b/>
                <w:bCs/>
                <w:color w:val="000000"/>
                <w:szCs w:val="24"/>
              </w:rPr>
            </w:pPr>
            <w:r>
              <w:rPr>
                <w:rFonts w:hint="eastAsia" w:cs="宋体"/>
                <w:b/>
                <w:bCs/>
                <w:color w:val="000000"/>
                <w:szCs w:val="24"/>
              </w:rPr>
              <w:t>序号</w:t>
            </w:r>
          </w:p>
        </w:tc>
        <w:tc>
          <w:tcPr>
            <w:tcW w:w="1778" w:type="dxa"/>
            <w:tcBorders>
              <w:top w:val="single" w:color="auto" w:sz="4" w:space="0"/>
              <w:left w:val="nil"/>
              <w:bottom w:val="single" w:color="auto" w:sz="4" w:space="0"/>
              <w:right w:val="single" w:color="auto" w:sz="4" w:space="0"/>
            </w:tcBorders>
            <w:noWrap/>
            <w:vAlign w:val="center"/>
          </w:tcPr>
          <w:p>
            <w:pPr>
              <w:spacing w:line="240" w:lineRule="auto"/>
              <w:jc w:val="center"/>
              <w:rPr>
                <w:rFonts w:hint="eastAsia" w:cs="宋体"/>
                <w:b/>
                <w:bCs/>
                <w:color w:val="000000"/>
                <w:szCs w:val="24"/>
              </w:rPr>
            </w:pPr>
            <w:r>
              <w:rPr>
                <w:rFonts w:hint="eastAsia" w:cs="宋体"/>
                <w:b/>
                <w:bCs/>
                <w:color w:val="000000"/>
                <w:szCs w:val="24"/>
              </w:rPr>
              <w:t>指标项</w:t>
            </w:r>
          </w:p>
        </w:tc>
        <w:tc>
          <w:tcPr>
            <w:tcW w:w="5908" w:type="dxa"/>
            <w:tcBorders>
              <w:top w:val="single" w:color="auto" w:sz="4" w:space="0"/>
              <w:left w:val="nil"/>
              <w:bottom w:val="single" w:color="auto" w:sz="4" w:space="0"/>
              <w:right w:val="single" w:color="auto" w:sz="4" w:space="0"/>
            </w:tcBorders>
            <w:vAlign w:val="center"/>
          </w:tcPr>
          <w:p>
            <w:pPr>
              <w:spacing w:line="240" w:lineRule="auto"/>
              <w:jc w:val="center"/>
              <w:rPr>
                <w:rFonts w:hint="eastAsia" w:cs="宋体"/>
                <w:b/>
                <w:bCs/>
                <w:color w:val="000000"/>
                <w:szCs w:val="24"/>
              </w:rPr>
            </w:pPr>
            <w:r>
              <w:rPr>
                <w:rFonts w:hint="eastAsia" w:cs="宋体"/>
                <w:b/>
                <w:bCs/>
                <w:color w:val="000000"/>
                <w:szCs w:val="24"/>
              </w:rPr>
              <w:t>指标要求</w:t>
            </w:r>
          </w:p>
        </w:tc>
      </w:tr>
      <w:tr>
        <w:tblPrEx>
          <w:tblLayout w:type="fixed"/>
          <w:tblCellMar>
            <w:top w:w="0" w:type="dxa"/>
            <w:left w:w="108" w:type="dxa"/>
            <w:bottom w:w="0" w:type="dxa"/>
            <w:right w:w="108" w:type="dxa"/>
          </w:tblCellMar>
        </w:tblPrEx>
        <w:trPr>
          <w:trHeight w:val="288" w:hRule="atLeast"/>
        </w:trPr>
        <w:tc>
          <w:tcPr>
            <w:tcW w:w="837" w:type="dxa"/>
            <w:tcBorders>
              <w:top w:val="nil"/>
              <w:left w:val="single" w:color="auto" w:sz="4" w:space="0"/>
              <w:bottom w:val="single" w:color="auto" w:sz="4" w:space="0"/>
              <w:right w:val="single" w:color="auto" w:sz="4" w:space="0"/>
            </w:tcBorders>
            <w:noWrap/>
            <w:vAlign w:val="center"/>
          </w:tcPr>
          <w:p>
            <w:pPr>
              <w:spacing w:line="240" w:lineRule="auto"/>
              <w:jc w:val="center"/>
              <w:rPr>
                <w:rFonts w:hint="eastAsia" w:cs="宋体"/>
                <w:color w:val="000000"/>
                <w:szCs w:val="24"/>
              </w:rPr>
            </w:pPr>
            <w:r>
              <w:rPr>
                <w:rFonts w:hint="eastAsia" w:cs="宋体"/>
                <w:color w:val="000000"/>
                <w:szCs w:val="24"/>
              </w:rPr>
              <w:t>1</w:t>
            </w:r>
          </w:p>
        </w:tc>
        <w:tc>
          <w:tcPr>
            <w:tcW w:w="1778" w:type="dxa"/>
            <w:tcBorders>
              <w:top w:val="nil"/>
              <w:left w:val="nil"/>
              <w:bottom w:val="single" w:color="auto" w:sz="4" w:space="0"/>
              <w:right w:val="single" w:color="auto" w:sz="4" w:space="0"/>
            </w:tcBorders>
            <w:noWrap/>
            <w:vAlign w:val="center"/>
          </w:tcPr>
          <w:p>
            <w:pPr>
              <w:spacing w:line="240" w:lineRule="auto"/>
              <w:jc w:val="center"/>
              <w:rPr>
                <w:rFonts w:hint="eastAsia" w:cs="宋体"/>
                <w:color w:val="000000"/>
                <w:szCs w:val="24"/>
              </w:rPr>
            </w:pPr>
            <w:r>
              <w:rPr>
                <w:rFonts w:hint="eastAsia" w:cs="宋体"/>
                <w:color w:val="000000"/>
                <w:szCs w:val="24"/>
              </w:rPr>
              <w:t>频次</w:t>
            </w:r>
          </w:p>
        </w:tc>
        <w:tc>
          <w:tcPr>
            <w:tcW w:w="5908" w:type="dxa"/>
            <w:tcBorders>
              <w:top w:val="nil"/>
              <w:left w:val="nil"/>
              <w:bottom w:val="single" w:color="auto" w:sz="4" w:space="0"/>
              <w:right w:val="single" w:color="auto" w:sz="4" w:space="0"/>
            </w:tcBorders>
            <w:vAlign w:val="center"/>
          </w:tcPr>
          <w:p>
            <w:pPr>
              <w:spacing w:line="240" w:lineRule="auto"/>
              <w:rPr>
                <w:rFonts w:hint="eastAsia" w:cs="宋体"/>
                <w:color w:val="000000"/>
                <w:szCs w:val="24"/>
              </w:rPr>
            </w:pPr>
            <w:r>
              <w:rPr>
                <w:rFonts w:hint="eastAsia" w:cs="宋体"/>
                <w:color w:val="000000"/>
                <w:szCs w:val="24"/>
              </w:rPr>
              <w:t>1年1次</w:t>
            </w:r>
          </w:p>
        </w:tc>
      </w:tr>
      <w:tr>
        <w:tblPrEx>
          <w:tblLayout w:type="fixed"/>
          <w:tblCellMar>
            <w:top w:w="0" w:type="dxa"/>
            <w:left w:w="108" w:type="dxa"/>
            <w:bottom w:w="0" w:type="dxa"/>
            <w:right w:w="108" w:type="dxa"/>
          </w:tblCellMar>
        </w:tblPrEx>
        <w:trPr>
          <w:trHeight w:val="1440" w:hRule="atLeast"/>
        </w:trPr>
        <w:tc>
          <w:tcPr>
            <w:tcW w:w="837" w:type="dxa"/>
            <w:tcBorders>
              <w:top w:val="nil"/>
              <w:left w:val="single" w:color="auto" w:sz="4" w:space="0"/>
              <w:bottom w:val="single" w:color="auto" w:sz="4" w:space="0"/>
              <w:right w:val="single" w:color="auto" w:sz="4" w:space="0"/>
            </w:tcBorders>
            <w:noWrap/>
            <w:vAlign w:val="center"/>
          </w:tcPr>
          <w:p>
            <w:pPr>
              <w:spacing w:line="240" w:lineRule="auto"/>
              <w:jc w:val="center"/>
              <w:rPr>
                <w:rFonts w:hint="eastAsia" w:cs="宋体"/>
                <w:color w:val="000000"/>
                <w:szCs w:val="24"/>
              </w:rPr>
            </w:pPr>
            <w:r>
              <w:rPr>
                <w:rFonts w:hint="eastAsia" w:cs="宋体"/>
                <w:color w:val="000000"/>
                <w:szCs w:val="24"/>
              </w:rPr>
              <w:t>2</w:t>
            </w:r>
          </w:p>
        </w:tc>
        <w:tc>
          <w:tcPr>
            <w:tcW w:w="1778" w:type="dxa"/>
            <w:tcBorders>
              <w:top w:val="nil"/>
              <w:left w:val="nil"/>
              <w:bottom w:val="single" w:color="auto" w:sz="4" w:space="0"/>
              <w:right w:val="single" w:color="auto" w:sz="4" w:space="0"/>
            </w:tcBorders>
            <w:noWrap/>
            <w:vAlign w:val="center"/>
          </w:tcPr>
          <w:p>
            <w:pPr>
              <w:spacing w:line="240" w:lineRule="auto"/>
              <w:jc w:val="center"/>
              <w:rPr>
                <w:rFonts w:hint="eastAsia" w:cs="宋体"/>
                <w:color w:val="000000"/>
                <w:szCs w:val="24"/>
              </w:rPr>
            </w:pPr>
            <w:r>
              <w:rPr>
                <w:rFonts w:hint="eastAsia" w:cs="宋体"/>
                <w:color w:val="000000"/>
                <w:szCs w:val="24"/>
              </w:rPr>
              <w:t>服务要求</w:t>
            </w:r>
          </w:p>
        </w:tc>
        <w:tc>
          <w:tcPr>
            <w:tcW w:w="5908" w:type="dxa"/>
            <w:tcBorders>
              <w:top w:val="nil"/>
              <w:left w:val="nil"/>
              <w:bottom w:val="single" w:color="auto" w:sz="4" w:space="0"/>
              <w:right w:val="single" w:color="auto" w:sz="4" w:space="0"/>
            </w:tcBorders>
            <w:vAlign w:val="center"/>
          </w:tcPr>
          <w:p>
            <w:pPr>
              <w:spacing w:line="240" w:lineRule="auto"/>
              <w:rPr>
                <w:rFonts w:hint="eastAsia" w:cs="宋体"/>
                <w:color w:val="000000"/>
                <w:szCs w:val="24"/>
              </w:rPr>
            </w:pPr>
            <w:r>
              <w:rPr>
                <w:rFonts w:hint="eastAsia" w:cs="宋体"/>
                <w:color w:val="000000"/>
                <w:szCs w:val="24"/>
              </w:rPr>
              <w:t>依据网络安全法及网络安全等级保护相关管理要求，结合医院实际业务情况、部门情况及已有制度情况，为院方进行安全制度建设，查漏补缺，包括协助院方制定单位安全方针，建立信息安全策略框架制度；明确院内信息安全管理制度，落实各项安全管理标准文档，以及各项管理相关表单。</w:t>
            </w:r>
          </w:p>
        </w:tc>
      </w:tr>
      <w:tr>
        <w:tblPrEx>
          <w:tblLayout w:type="fixed"/>
          <w:tblCellMar>
            <w:top w:w="0" w:type="dxa"/>
            <w:left w:w="108" w:type="dxa"/>
            <w:bottom w:w="0" w:type="dxa"/>
            <w:right w:w="108" w:type="dxa"/>
          </w:tblCellMar>
        </w:tblPrEx>
        <w:trPr>
          <w:trHeight w:val="8192" w:hRule="atLeast"/>
        </w:trPr>
        <w:tc>
          <w:tcPr>
            <w:tcW w:w="837" w:type="dxa"/>
            <w:tcBorders>
              <w:top w:val="nil"/>
              <w:left w:val="single" w:color="auto" w:sz="4" w:space="0"/>
              <w:bottom w:val="single" w:color="auto" w:sz="4" w:space="0"/>
              <w:right w:val="single" w:color="auto" w:sz="4" w:space="0"/>
            </w:tcBorders>
            <w:noWrap/>
            <w:vAlign w:val="center"/>
          </w:tcPr>
          <w:p>
            <w:pPr>
              <w:spacing w:line="240" w:lineRule="auto"/>
              <w:jc w:val="center"/>
              <w:rPr>
                <w:rFonts w:hint="eastAsia" w:cs="宋体"/>
                <w:color w:val="000000"/>
                <w:szCs w:val="24"/>
              </w:rPr>
            </w:pPr>
            <w:r>
              <w:rPr>
                <w:rFonts w:hint="eastAsia" w:cs="宋体"/>
                <w:color w:val="000000"/>
                <w:szCs w:val="24"/>
              </w:rPr>
              <w:t>3</w:t>
            </w:r>
          </w:p>
        </w:tc>
        <w:tc>
          <w:tcPr>
            <w:tcW w:w="1778" w:type="dxa"/>
            <w:tcBorders>
              <w:top w:val="nil"/>
              <w:left w:val="nil"/>
              <w:bottom w:val="single" w:color="auto" w:sz="4" w:space="0"/>
              <w:right w:val="single" w:color="auto" w:sz="4" w:space="0"/>
            </w:tcBorders>
            <w:noWrap/>
            <w:vAlign w:val="center"/>
          </w:tcPr>
          <w:p>
            <w:pPr>
              <w:spacing w:line="240" w:lineRule="auto"/>
              <w:jc w:val="center"/>
              <w:rPr>
                <w:rFonts w:hint="eastAsia" w:cs="宋体"/>
                <w:color w:val="000000"/>
                <w:szCs w:val="24"/>
              </w:rPr>
            </w:pPr>
            <w:r>
              <w:rPr>
                <w:rFonts w:hint="eastAsia" w:cs="宋体"/>
                <w:color w:val="000000"/>
                <w:szCs w:val="24"/>
              </w:rPr>
              <w:t>服务内容</w:t>
            </w:r>
          </w:p>
        </w:tc>
        <w:tc>
          <w:tcPr>
            <w:tcW w:w="5908" w:type="dxa"/>
            <w:tcBorders>
              <w:top w:val="nil"/>
              <w:left w:val="nil"/>
              <w:bottom w:val="single" w:color="auto" w:sz="4" w:space="0"/>
              <w:right w:val="single" w:color="auto" w:sz="4" w:space="0"/>
            </w:tcBorders>
            <w:vAlign w:val="center"/>
          </w:tcPr>
          <w:p>
            <w:pPr>
              <w:spacing w:line="240" w:lineRule="auto"/>
              <w:rPr>
                <w:rFonts w:hint="eastAsia" w:cs="宋体"/>
                <w:color w:val="000000"/>
                <w:szCs w:val="24"/>
              </w:rPr>
            </w:pPr>
            <w:r>
              <w:rPr>
                <w:rFonts w:hint="eastAsia" w:cs="宋体"/>
                <w:color w:val="000000"/>
                <w:szCs w:val="24"/>
              </w:rPr>
              <w:t>所需建设的制度内容包括但不限于：</w:t>
            </w:r>
          </w:p>
          <w:p>
            <w:pPr>
              <w:pStyle w:val="55"/>
              <w:numPr>
                <w:ilvl w:val="0"/>
                <w:numId w:val="6"/>
              </w:numPr>
              <w:spacing w:line="240" w:lineRule="auto"/>
              <w:rPr>
                <w:rFonts w:cs="宋体"/>
                <w:color w:val="000000"/>
                <w:szCs w:val="24"/>
              </w:rPr>
            </w:pPr>
            <w:r>
              <w:rPr>
                <w:rFonts w:hint="eastAsia" w:cs="宋体"/>
                <w:color w:val="000000"/>
                <w:szCs w:val="24"/>
              </w:rPr>
              <w:t>一级制度：</w:t>
            </w:r>
          </w:p>
          <w:p>
            <w:pPr>
              <w:spacing w:line="240" w:lineRule="auto"/>
              <w:rPr>
                <w:rFonts w:hint="eastAsia" w:cs="宋体"/>
                <w:color w:val="000000"/>
                <w:szCs w:val="24"/>
              </w:rPr>
            </w:pPr>
            <w:r>
              <w:rPr>
                <w:rFonts w:hint="eastAsia" w:cs="宋体"/>
                <w:color w:val="000000"/>
                <w:szCs w:val="24"/>
              </w:rPr>
              <w:t>1. 信息安全方针；</w:t>
            </w:r>
            <w:r>
              <w:rPr>
                <w:rFonts w:hint="eastAsia" w:cs="宋体"/>
                <w:color w:val="000000"/>
                <w:szCs w:val="24"/>
              </w:rPr>
              <w:br w:type="textWrapping"/>
            </w:r>
            <w:r>
              <w:rPr>
                <w:rFonts w:hint="eastAsia" w:cs="宋体"/>
                <w:color w:val="000000"/>
                <w:szCs w:val="24"/>
              </w:rPr>
              <w:t>2. 信息安全策略（框架）</w:t>
            </w:r>
          </w:p>
          <w:p>
            <w:pPr>
              <w:pStyle w:val="55"/>
              <w:numPr>
                <w:ilvl w:val="0"/>
                <w:numId w:val="6"/>
              </w:numPr>
              <w:spacing w:line="240" w:lineRule="auto"/>
              <w:rPr>
                <w:rFonts w:cs="宋体"/>
                <w:color w:val="000000"/>
                <w:szCs w:val="24"/>
              </w:rPr>
            </w:pPr>
            <w:r>
              <w:rPr>
                <w:rFonts w:hint="eastAsia" w:cs="宋体"/>
                <w:color w:val="000000"/>
                <w:szCs w:val="24"/>
              </w:rPr>
              <w:t>二级制度：</w:t>
            </w:r>
          </w:p>
          <w:p>
            <w:pPr>
              <w:spacing w:line="240" w:lineRule="auto"/>
              <w:rPr>
                <w:rFonts w:hint="eastAsia" w:cs="宋体"/>
                <w:color w:val="000000"/>
                <w:szCs w:val="24"/>
              </w:rPr>
            </w:pPr>
            <w:r>
              <w:rPr>
                <w:rFonts w:hint="eastAsia" w:cs="宋体"/>
                <w:color w:val="000000"/>
                <w:szCs w:val="24"/>
              </w:rPr>
              <w:t>1. 机房安全管理制度</w:t>
            </w:r>
            <w:r>
              <w:rPr>
                <w:rFonts w:hint="eastAsia" w:cs="宋体"/>
                <w:color w:val="000000"/>
                <w:szCs w:val="24"/>
              </w:rPr>
              <w:br w:type="textWrapping"/>
            </w:r>
            <w:r>
              <w:rPr>
                <w:rFonts w:hint="eastAsia" w:cs="宋体"/>
                <w:color w:val="000000"/>
                <w:szCs w:val="24"/>
              </w:rPr>
              <w:t>2. 密码安全管理制度</w:t>
            </w:r>
            <w:r>
              <w:rPr>
                <w:rFonts w:hint="eastAsia" w:cs="宋体"/>
                <w:color w:val="000000"/>
                <w:szCs w:val="24"/>
              </w:rPr>
              <w:br w:type="textWrapping"/>
            </w:r>
            <w:r>
              <w:rPr>
                <w:rFonts w:hint="eastAsia" w:cs="宋体"/>
                <w:color w:val="000000"/>
                <w:szCs w:val="24"/>
              </w:rPr>
              <w:t>3. 网络安全管理制度</w:t>
            </w:r>
            <w:r>
              <w:rPr>
                <w:rFonts w:hint="eastAsia" w:cs="宋体"/>
                <w:color w:val="000000"/>
                <w:szCs w:val="24"/>
              </w:rPr>
              <w:br w:type="textWrapping"/>
            </w:r>
            <w:r>
              <w:rPr>
                <w:rFonts w:hint="eastAsia" w:cs="宋体"/>
                <w:color w:val="000000"/>
                <w:szCs w:val="24"/>
              </w:rPr>
              <w:t>4. 系统变更安全管理制度</w:t>
            </w:r>
            <w:r>
              <w:rPr>
                <w:rFonts w:hint="eastAsia" w:cs="宋体"/>
                <w:color w:val="000000"/>
                <w:szCs w:val="24"/>
              </w:rPr>
              <w:br w:type="textWrapping"/>
            </w:r>
            <w:r>
              <w:rPr>
                <w:rFonts w:hint="eastAsia" w:cs="宋体"/>
                <w:color w:val="000000"/>
                <w:szCs w:val="24"/>
              </w:rPr>
              <w:t>5. 设备安全管理制度</w:t>
            </w:r>
            <w:r>
              <w:rPr>
                <w:rFonts w:hint="eastAsia" w:cs="宋体"/>
                <w:color w:val="000000"/>
                <w:szCs w:val="24"/>
              </w:rPr>
              <w:br w:type="textWrapping"/>
            </w:r>
            <w:r>
              <w:rPr>
                <w:rFonts w:hint="eastAsia" w:cs="宋体"/>
                <w:color w:val="000000"/>
                <w:szCs w:val="24"/>
              </w:rPr>
              <w:t>6. 介质安全管理制度</w:t>
            </w:r>
            <w:r>
              <w:rPr>
                <w:rFonts w:hint="eastAsia" w:cs="宋体"/>
                <w:color w:val="000000"/>
                <w:szCs w:val="24"/>
              </w:rPr>
              <w:br w:type="textWrapping"/>
            </w:r>
            <w:r>
              <w:rPr>
                <w:rFonts w:hint="eastAsia" w:cs="宋体"/>
                <w:color w:val="000000"/>
                <w:szCs w:val="24"/>
              </w:rPr>
              <w:t>7. 备份安全管理制度</w:t>
            </w:r>
            <w:r>
              <w:rPr>
                <w:rFonts w:hint="eastAsia" w:cs="宋体"/>
                <w:color w:val="000000"/>
                <w:szCs w:val="24"/>
              </w:rPr>
              <w:br w:type="textWrapping"/>
            </w:r>
            <w:r>
              <w:rPr>
                <w:rFonts w:hint="eastAsia" w:cs="宋体"/>
                <w:color w:val="000000"/>
                <w:szCs w:val="24"/>
              </w:rPr>
              <w:t>8. 软件测试安全管理制度</w:t>
            </w:r>
          </w:p>
          <w:p>
            <w:pPr>
              <w:pStyle w:val="55"/>
              <w:numPr>
                <w:ilvl w:val="0"/>
                <w:numId w:val="6"/>
              </w:numPr>
              <w:spacing w:line="240" w:lineRule="auto"/>
              <w:rPr>
                <w:rFonts w:cs="宋体"/>
                <w:color w:val="000000"/>
                <w:szCs w:val="24"/>
              </w:rPr>
            </w:pPr>
            <w:r>
              <w:rPr>
                <w:rFonts w:hint="eastAsia" w:cs="宋体"/>
                <w:color w:val="000000"/>
                <w:szCs w:val="24"/>
              </w:rPr>
              <w:t>三级制度</w:t>
            </w:r>
          </w:p>
          <w:p>
            <w:pPr>
              <w:spacing w:line="240" w:lineRule="auto"/>
              <w:rPr>
                <w:rFonts w:hint="eastAsia" w:cs="宋体"/>
                <w:color w:val="000000"/>
                <w:szCs w:val="24"/>
              </w:rPr>
            </w:pPr>
            <w:r>
              <w:rPr>
                <w:rFonts w:hint="eastAsia" w:cs="宋体"/>
                <w:color w:val="000000"/>
                <w:szCs w:val="24"/>
              </w:rPr>
              <w:t>1. 存储介质报废再利用管控作业办法</w:t>
            </w:r>
            <w:r>
              <w:rPr>
                <w:rFonts w:hint="eastAsia" w:cs="宋体"/>
                <w:color w:val="000000"/>
                <w:szCs w:val="24"/>
              </w:rPr>
              <w:br w:type="textWrapping"/>
            </w:r>
            <w:r>
              <w:rPr>
                <w:rFonts w:hint="eastAsia" w:cs="宋体"/>
                <w:color w:val="000000"/>
                <w:szCs w:val="24"/>
              </w:rPr>
              <w:t>2. 安全配置标准</w:t>
            </w:r>
            <w:r>
              <w:rPr>
                <w:rFonts w:hint="eastAsia" w:cs="宋体"/>
                <w:color w:val="000000"/>
                <w:szCs w:val="24"/>
              </w:rPr>
              <w:br w:type="textWrapping"/>
            </w:r>
            <w:r>
              <w:rPr>
                <w:rFonts w:hint="eastAsia" w:cs="宋体"/>
                <w:color w:val="000000"/>
                <w:szCs w:val="24"/>
              </w:rPr>
              <w:t>3. Windows安全标准</w:t>
            </w:r>
            <w:r>
              <w:rPr>
                <w:rFonts w:hint="eastAsia" w:cs="宋体"/>
                <w:color w:val="000000"/>
                <w:szCs w:val="24"/>
              </w:rPr>
              <w:br w:type="textWrapping"/>
            </w:r>
            <w:r>
              <w:rPr>
                <w:rFonts w:hint="eastAsia" w:cs="宋体"/>
                <w:color w:val="000000"/>
                <w:szCs w:val="24"/>
              </w:rPr>
              <w:t>4. LINUX &amp; AIX安全配置标准</w:t>
            </w:r>
            <w:r>
              <w:rPr>
                <w:rFonts w:hint="eastAsia" w:cs="宋体"/>
                <w:color w:val="000000"/>
                <w:szCs w:val="24"/>
              </w:rPr>
              <w:br w:type="textWrapping"/>
            </w:r>
            <w:r>
              <w:rPr>
                <w:rFonts w:hint="eastAsia" w:cs="宋体"/>
                <w:color w:val="000000"/>
                <w:szCs w:val="24"/>
              </w:rPr>
              <w:t>5. 日志安全标准</w:t>
            </w:r>
            <w:r>
              <w:rPr>
                <w:rFonts w:hint="eastAsia" w:cs="宋体"/>
                <w:color w:val="000000"/>
                <w:szCs w:val="24"/>
              </w:rPr>
              <w:br w:type="textWrapping"/>
            </w:r>
            <w:r>
              <w:rPr>
                <w:rFonts w:hint="eastAsia" w:cs="宋体"/>
                <w:color w:val="000000"/>
                <w:szCs w:val="24"/>
              </w:rPr>
              <w:t>6. 备份安全标准</w:t>
            </w:r>
            <w:r>
              <w:rPr>
                <w:rFonts w:hint="eastAsia" w:cs="宋体"/>
                <w:color w:val="000000"/>
                <w:szCs w:val="24"/>
              </w:rPr>
              <w:br w:type="textWrapping"/>
            </w:r>
            <w:r>
              <w:rPr>
                <w:rFonts w:hint="eastAsia" w:cs="宋体"/>
                <w:color w:val="000000"/>
                <w:szCs w:val="24"/>
              </w:rPr>
              <w:t>7. 病毒防治标准</w:t>
            </w:r>
            <w:r>
              <w:rPr>
                <w:rFonts w:hint="eastAsia" w:cs="宋体"/>
                <w:color w:val="000000"/>
                <w:szCs w:val="24"/>
              </w:rPr>
              <w:br w:type="textWrapping"/>
            </w:r>
            <w:r>
              <w:rPr>
                <w:rFonts w:hint="eastAsia" w:cs="宋体"/>
                <w:color w:val="000000"/>
                <w:szCs w:val="24"/>
              </w:rPr>
              <w:t>8. 个人办公电脑安全管理标准</w:t>
            </w:r>
            <w:r>
              <w:rPr>
                <w:rFonts w:hint="eastAsia" w:cs="宋体"/>
                <w:color w:val="000000"/>
                <w:szCs w:val="24"/>
              </w:rPr>
              <w:br w:type="textWrapping"/>
            </w:r>
            <w:r>
              <w:rPr>
                <w:rFonts w:hint="eastAsia" w:cs="宋体"/>
                <w:color w:val="000000"/>
                <w:szCs w:val="24"/>
              </w:rPr>
              <w:t>9. -帐号密码安全标准</w:t>
            </w:r>
          </w:p>
          <w:p>
            <w:pPr>
              <w:pStyle w:val="55"/>
              <w:numPr>
                <w:ilvl w:val="0"/>
                <w:numId w:val="6"/>
              </w:numPr>
              <w:spacing w:line="240" w:lineRule="auto"/>
              <w:rPr>
                <w:rFonts w:cs="宋体"/>
                <w:color w:val="000000"/>
                <w:szCs w:val="24"/>
              </w:rPr>
            </w:pPr>
            <w:r>
              <w:rPr>
                <w:rFonts w:hint="eastAsia" w:cs="宋体"/>
                <w:color w:val="000000"/>
                <w:szCs w:val="24"/>
              </w:rPr>
              <w:t>四级制度：</w:t>
            </w:r>
          </w:p>
          <w:p>
            <w:pPr>
              <w:spacing w:line="240" w:lineRule="auto"/>
              <w:rPr>
                <w:rFonts w:hint="eastAsia" w:cs="宋体"/>
                <w:color w:val="000000"/>
                <w:szCs w:val="24"/>
              </w:rPr>
            </w:pPr>
            <w:r>
              <w:rPr>
                <w:rFonts w:hint="eastAsia" w:cs="宋体"/>
                <w:color w:val="000000"/>
                <w:szCs w:val="24"/>
              </w:rPr>
              <w:t>1. 外部人员访问申请表</w:t>
            </w:r>
            <w:r>
              <w:rPr>
                <w:rFonts w:hint="eastAsia" w:cs="宋体"/>
                <w:color w:val="000000"/>
                <w:szCs w:val="24"/>
              </w:rPr>
              <w:br w:type="textWrapping"/>
            </w:r>
            <w:r>
              <w:rPr>
                <w:rFonts w:hint="eastAsia" w:cs="宋体"/>
                <w:color w:val="000000"/>
                <w:szCs w:val="24"/>
              </w:rPr>
              <w:t>2. 员工保密协议</w:t>
            </w:r>
            <w:r>
              <w:rPr>
                <w:rFonts w:hint="eastAsia" w:cs="宋体"/>
                <w:color w:val="000000"/>
                <w:szCs w:val="24"/>
              </w:rPr>
              <w:br w:type="textWrapping"/>
            </w:r>
            <w:r>
              <w:rPr>
                <w:rFonts w:hint="eastAsia" w:cs="宋体"/>
                <w:color w:val="000000"/>
                <w:szCs w:val="24"/>
              </w:rPr>
              <w:t>3. 岗位安全协议书</w:t>
            </w:r>
            <w:r>
              <w:rPr>
                <w:rFonts w:hint="eastAsia" w:cs="宋体"/>
                <w:color w:val="000000"/>
                <w:szCs w:val="24"/>
              </w:rPr>
              <w:br w:type="textWrapping"/>
            </w:r>
            <w:r>
              <w:rPr>
                <w:rFonts w:hint="eastAsia" w:cs="宋体"/>
                <w:color w:val="000000"/>
                <w:szCs w:val="24"/>
              </w:rPr>
              <w:t>4. 软件测试计划书</w:t>
            </w:r>
            <w:r>
              <w:rPr>
                <w:rFonts w:hint="eastAsia" w:cs="宋体"/>
                <w:color w:val="000000"/>
                <w:szCs w:val="24"/>
              </w:rPr>
              <w:br w:type="textWrapping"/>
            </w:r>
            <w:r>
              <w:rPr>
                <w:rFonts w:hint="eastAsia" w:cs="宋体"/>
                <w:color w:val="000000"/>
                <w:szCs w:val="24"/>
              </w:rPr>
              <w:t>5. 机房出入登记表</w:t>
            </w:r>
            <w:r>
              <w:rPr>
                <w:rFonts w:hint="eastAsia" w:cs="宋体"/>
                <w:color w:val="000000"/>
                <w:szCs w:val="24"/>
              </w:rPr>
              <w:br w:type="textWrapping"/>
            </w:r>
            <w:r>
              <w:rPr>
                <w:rFonts w:hint="eastAsia" w:cs="宋体"/>
                <w:color w:val="000000"/>
                <w:szCs w:val="24"/>
              </w:rPr>
              <w:t>6. 应急联络手册</w:t>
            </w:r>
            <w:r>
              <w:rPr>
                <w:rFonts w:hint="eastAsia" w:cs="宋体"/>
                <w:color w:val="000000"/>
                <w:szCs w:val="24"/>
              </w:rPr>
              <w:br w:type="textWrapping"/>
            </w:r>
            <w:r>
              <w:rPr>
                <w:rFonts w:hint="eastAsia" w:cs="宋体"/>
                <w:color w:val="000000"/>
                <w:szCs w:val="24"/>
              </w:rPr>
              <w:t>7. 备份介质销毁申请表</w:t>
            </w:r>
            <w:r>
              <w:rPr>
                <w:rFonts w:hint="eastAsia" w:cs="宋体"/>
                <w:color w:val="000000"/>
                <w:szCs w:val="24"/>
              </w:rPr>
              <w:br w:type="textWrapping"/>
            </w:r>
            <w:r>
              <w:rPr>
                <w:rFonts w:hint="eastAsia" w:cs="宋体"/>
                <w:color w:val="000000"/>
                <w:szCs w:val="24"/>
              </w:rPr>
              <w:t>8. 备份设备清洗记录</w:t>
            </w:r>
            <w:r>
              <w:rPr>
                <w:rFonts w:hint="eastAsia" w:cs="宋体"/>
                <w:color w:val="000000"/>
                <w:szCs w:val="24"/>
              </w:rPr>
              <w:br w:type="textWrapping"/>
            </w:r>
            <w:r>
              <w:rPr>
                <w:rFonts w:hint="eastAsia" w:cs="宋体"/>
                <w:color w:val="000000"/>
                <w:szCs w:val="24"/>
              </w:rPr>
              <w:t>9. 设备报损报废审批表</w:t>
            </w:r>
            <w:r>
              <w:rPr>
                <w:rFonts w:hint="eastAsia" w:cs="宋体"/>
                <w:color w:val="000000"/>
                <w:szCs w:val="24"/>
              </w:rPr>
              <w:br w:type="textWrapping"/>
            </w:r>
            <w:r>
              <w:rPr>
                <w:rFonts w:hint="eastAsia" w:cs="宋体"/>
                <w:color w:val="000000"/>
                <w:szCs w:val="24"/>
              </w:rPr>
              <w:t>相关制度的建设及调整需与院方沟通并获得同意后方可执行。</w:t>
            </w:r>
          </w:p>
        </w:tc>
      </w:tr>
      <w:tr>
        <w:tblPrEx>
          <w:tblLayout w:type="fixed"/>
          <w:tblCellMar>
            <w:top w:w="0" w:type="dxa"/>
            <w:left w:w="108" w:type="dxa"/>
            <w:bottom w:w="0" w:type="dxa"/>
            <w:right w:w="108" w:type="dxa"/>
          </w:tblCellMar>
        </w:tblPrEx>
        <w:trPr>
          <w:trHeight w:val="288" w:hRule="atLeast"/>
        </w:trPr>
        <w:tc>
          <w:tcPr>
            <w:tcW w:w="837" w:type="dxa"/>
            <w:tcBorders>
              <w:top w:val="nil"/>
              <w:left w:val="single" w:color="auto" w:sz="4" w:space="0"/>
              <w:bottom w:val="single" w:color="auto" w:sz="4" w:space="0"/>
              <w:right w:val="single" w:color="auto" w:sz="4" w:space="0"/>
            </w:tcBorders>
            <w:noWrap/>
            <w:vAlign w:val="center"/>
          </w:tcPr>
          <w:p>
            <w:pPr>
              <w:spacing w:line="240" w:lineRule="auto"/>
              <w:jc w:val="center"/>
              <w:rPr>
                <w:rFonts w:hint="eastAsia" w:cs="宋体"/>
                <w:color w:val="000000"/>
                <w:szCs w:val="24"/>
              </w:rPr>
            </w:pPr>
            <w:r>
              <w:rPr>
                <w:rFonts w:hint="eastAsia" w:cs="宋体"/>
                <w:color w:val="000000"/>
                <w:szCs w:val="24"/>
              </w:rPr>
              <w:t>4</w:t>
            </w:r>
          </w:p>
        </w:tc>
        <w:tc>
          <w:tcPr>
            <w:tcW w:w="1778" w:type="dxa"/>
            <w:tcBorders>
              <w:top w:val="nil"/>
              <w:left w:val="nil"/>
              <w:bottom w:val="single" w:color="auto" w:sz="4" w:space="0"/>
              <w:right w:val="single" w:color="auto" w:sz="4" w:space="0"/>
            </w:tcBorders>
            <w:noWrap/>
            <w:vAlign w:val="center"/>
          </w:tcPr>
          <w:p>
            <w:pPr>
              <w:spacing w:line="240" w:lineRule="auto"/>
              <w:jc w:val="center"/>
              <w:rPr>
                <w:rFonts w:hint="eastAsia" w:cs="宋体"/>
                <w:color w:val="000000"/>
                <w:szCs w:val="24"/>
              </w:rPr>
            </w:pPr>
            <w:r>
              <w:rPr>
                <w:rFonts w:hint="eastAsia" w:cs="宋体"/>
                <w:color w:val="000000"/>
                <w:szCs w:val="24"/>
              </w:rPr>
              <w:t>服务交付</w:t>
            </w:r>
          </w:p>
        </w:tc>
        <w:tc>
          <w:tcPr>
            <w:tcW w:w="5908" w:type="dxa"/>
            <w:tcBorders>
              <w:top w:val="nil"/>
              <w:left w:val="nil"/>
              <w:bottom w:val="single" w:color="auto" w:sz="4" w:space="0"/>
              <w:right w:val="single" w:color="auto" w:sz="4" w:space="0"/>
            </w:tcBorders>
            <w:vAlign w:val="center"/>
          </w:tcPr>
          <w:p>
            <w:pPr>
              <w:spacing w:line="240" w:lineRule="auto"/>
              <w:rPr>
                <w:rFonts w:hint="eastAsia" w:cs="宋体"/>
                <w:color w:val="000000"/>
                <w:szCs w:val="24"/>
              </w:rPr>
            </w:pPr>
            <w:r>
              <w:rPr>
                <w:rFonts w:hint="eastAsia" w:cs="宋体"/>
                <w:color w:val="000000"/>
                <w:szCs w:val="24"/>
              </w:rPr>
              <w:t>服务完成后输出可执行的《xx制度》文档。</w:t>
            </w:r>
          </w:p>
        </w:tc>
      </w:tr>
    </w:tbl>
    <w:p>
      <w:pPr>
        <w:rPr>
          <w:rFonts w:hint="eastAsia"/>
          <w:szCs w:val="21"/>
        </w:rPr>
      </w:pPr>
    </w:p>
    <w:p>
      <w:pPr>
        <w:pStyle w:val="5"/>
        <w:rPr>
          <w:color w:val="000000" w:themeColor="text1"/>
          <w14:textFill>
            <w14:solidFill>
              <w14:schemeClr w14:val="tx1"/>
            </w14:solidFill>
          </w14:textFill>
        </w:rPr>
      </w:pPr>
      <w:r>
        <w:rPr>
          <w:rFonts w:hint="eastAsia"/>
          <w:color w:val="000000" w:themeColor="text1"/>
          <w14:textFill>
            <w14:solidFill>
              <w14:schemeClr w14:val="tx1"/>
            </w14:solidFill>
          </w14:textFill>
        </w:rPr>
        <w:t>安全培训服务</w:t>
      </w:r>
    </w:p>
    <w:tbl>
      <w:tblPr>
        <w:tblStyle w:val="33"/>
        <w:tblW w:w="8523" w:type="dxa"/>
        <w:tblInd w:w="0" w:type="dxa"/>
        <w:tblLayout w:type="fixed"/>
        <w:tblCellMar>
          <w:top w:w="0" w:type="dxa"/>
          <w:left w:w="108" w:type="dxa"/>
          <w:bottom w:w="0" w:type="dxa"/>
          <w:right w:w="108" w:type="dxa"/>
        </w:tblCellMar>
      </w:tblPr>
      <w:tblGrid>
        <w:gridCol w:w="713"/>
        <w:gridCol w:w="1654"/>
        <w:gridCol w:w="6156"/>
      </w:tblGrid>
      <w:tr>
        <w:tblPrEx>
          <w:tblLayout w:type="fixed"/>
          <w:tblCellMar>
            <w:top w:w="0" w:type="dxa"/>
            <w:left w:w="108" w:type="dxa"/>
            <w:bottom w:w="0" w:type="dxa"/>
            <w:right w:w="108" w:type="dxa"/>
          </w:tblCellMar>
        </w:tblPrEx>
        <w:trPr>
          <w:trHeight w:val="288" w:hRule="atLeast"/>
        </w:trPr>
        <w:tc>
          <w:tcPr>
            <w:tcW w:w="713" w:type="dxa"/>
            <w:tcBorders>
              <w:top w:val="single" w:color="auto" w:sz="4" w:space="0"/>
              <w:left w:val="single" w:color="auto" w:sz="4" w:space="0"/>
              <w:bottom w:val="single" w:color="auto" w:sz="4" w:space="0"/>
              <w:right w:val="single" w:color="auto" w:sz="4" w:space="0"/>
            </w:tcBorders>
            <w:noWrap/>
            <w:vAlign w:val="center"/>
          </w:tcPr>
          <w:p>
            <w:pPr>
              <w:spacing w:line="240" w:lineRule="auto"/>
              <w:jc w:val="center"/>
              <w:rPr>
                <w:rFonts w:hint="eastAsia" w:cs="宋体"/>
                <w:b/>
                <w:bCs/>
                <w:color w:val="000000"/>
                <w:szCs w:val="24"/>
              </w:rPr>
            </w:pPr>
            <w:r>
              <w:rPr>
                <w:rFonts w:hint="eastAsia" w:cs="宋体"/>
                <w:b/>
                <w:bCs/>
                <w:color w:val="000000"/>
                <w:szCs w:val="24"/>
              </w:rPr>
              <w:t>序号</w:t>
            </w:r>
          </w:p>
        </w:tc>
        <w:tc>
          <w:tcPr>
            <w:tcW w:w="1654" w:type="dxa"/>
            <w:tcBorders>
              <w:top w:val="single" w:color="auto" w:sz="4" w:space="0"/>
              <w:left w:val="nil"/>
              <w:bottom w:val="single" w:color="auto" w:sz="4" w:space="0"/>
              <w:right w:val="single" w:color="auto" w:sz="4" w:space="0"/>
            </w:tcBorders>
            <w:noWrap/>
            <w:vAlign w:val="center"/>
          </w:tcPr>
          <w:p>
            <w:pPr>
              <w:spacing w:line="240" w:lineRule="auto"/>
              <w:jc w:val="center"/>
              <w:rPr>
                <w:rFonts w:hint="eastAsia" w:cs="宋体"/>
                <w:b/>
                <w:bCs/>
                <w:color w:val="000000"/>
                <w:szCs w:val="24"/>
              </w:rPr>
            </w:pPr>
            <w:r>
              <w:rPr>
                <w:rFonts w:hint="eastAsia" w:cs="宋体"/>
                <w:b/>
                <w:bCs/>
                <w:color w:val="000000"/>
                <w:szCs w:val="24"/>
              </w:rPr>
              <w:t>指标项</w:t>
            </w:r>
          </w:p>
        </w:tc>
        <w:tc>
          <w:tcPr>
            <w:tcW w:w="6156" w:type="dxa"/>
            <w:tcBorders>
              <w:top w:val="single" w:color="auto" w:sz="4" w:space="0"/>
              <w:left w:val="nil"/>
              <w:bottom w:val="single" w:color="auto" w:sz="4" w:space="0"/>
              <w:right w:val="single" w:color="auto" w:sz="4" w:space="0"/>
            </w:tcBorders>
            <w:vAlign w:val="center"/>
          </w:tcPr>
          <w:p>
            <w:pPr>
              <w:spacing w:line="240" w:lineRule="auto"/>
              <w:jc w:val="center"/>
              <w:rPr>
                <w:rFonts w:hint="eastAsia" w:cs="宋体"/>
                <w:b/>
                <w:bCs/>
                <w:color w:val="000000"/>
                <w:szCs w:val="24"/>
              </w:rPr>
            </w:pPr>
            <w:r>
              <w:rPr>
                <w:rFonts w:hint="eastAsia" w:cs="宋体"/>
                <w:b/>
                <w:bCs/>
                <w:color w:val="000000"/>
                <w:szCs w:val="24"/>
              </w:rPr>
              <w:t>指标要求</w:t>
            </w:r>
          </w:p>
        </w:tc>
      </w:tr>
      <w:tr>
        <w:tblPrEx>
          <w:tblLayout w:type="fixed"/>
          <w:tblCellMar>
            <w:top w:w="0" w:type="dxa"/>
            <w:left w:w="108" w:type="dxa"/>
            <w:bottom w:w="0" w:type="dxa"/>
            <w:right w:w="108" w:type="dxa"/>
          </w:tblCellMar>
        </w:tblPrEx>
        <w:trPr>
          <w:trHeight w:val="288" w:hRule="atLeast"/>
        </w:trPr>
        <w:tc>
          <w:tcPr>
            <w:tcW w:w="713" w:type="dxa"/>
            <w:tcBorders>
              <w:top w:val="nil"/>
              <w:left w:val="single" w:color="auto" w:sz="4" w:space="0"/>
              <w:bottom w:val="single" w:color="auto" w:sz="4" w:space="0"/>
              <w:right w:val="single" w:color="auto" w:sz="4" w:space="0"/>
            </w:tcBorders>
            <w:noWrap/>
            <w:vAlign w:val="center"/>
          </w:tcPr>
          <w:p>
            <w:pPr>
              <w:spacing w:line="240" w:lineRule="auto"/>
              <w:jc w:val="center"/>
              <w:rPr>
                <w:rFonts w:hint="eastAsia" w:cs="宋体"/>
                <w:color w:val="000000"/>
                <w:szCs w:val="24"/>
              </w:rPr>
            </w:pPr>
            <w:r>
              <w:rPr>
                <w:rFonts w:hint="eastAsia" w:cs="宋体"/>
                <w:color w:val="000000"/>
                <w:szCs w:val="24"/>
              </w:rPr>
              <w:t>1</w:t>
            </w:r>
          </w:p>
        </w:tc>
        <w:tc>
          <w:tcPr>
            <w:tcW w:w="1654" w:type="dxa"/>
            <w:tcBorders>
              <w:top w:val="nil"/>
              <w:left w:val="nil"/>
              <w:bottom w:val="single" w:color="auto" w:sz="4" w:space="0"/>
              <w:right w:val="single" w:color="auto" w:sz="4" w:space="0"/>
            </w:tcBorders>
            <w:noWrap/>
            <w:vAlign w:val="center"/>
          </w:tcPr>
          <w:p>
            <w:pPr>
              <w:spacing w:line="240" w:lineRule="auto"/>
              <w:jc w:val="center"/>
              <w:rPr>
                <w:rFonts w:hint="eastAsia" w:cs="宋体"/>
                <w:color w:val="000000"/>
                <w:szCs w:val="24"/>
              </w:rPr>
            </w:pPr>
            <w:r>
              <w:rPr>
                <w:rFonts w:hint="eastAsia" w:cs="宋体"/>
                <w:color w:val="000000"/>
                <w:szCs w:val="24"/>
              </w:rPr>
              <w:t>频次</w:t>
            </w:r>
          </w:p>
        </w:tc>
        <w:tc>
          <w:tcPr>
            <w:tcW w:w="6156" w:type="dxa"/>
            <w:tcBorders>
              <w:top w:val="nil"/>
              <w:left w:val="nil"/>
              <w:bottom w:val="single" w:color="auto" w:sz="4" w:space="0"/>
              <w:right w:val="single" w:color="auto" w:sz="4" w:space="0"/>
            </w:tcBorders>
            <w:noWrap/>
            <w:vAlign w:val="center"/>
          </w:tcPr>
          <w:p>
            <w:pPr>
              <w:spacing w:line="240" w:lineRule="auto"/>
              <w:rPr>
                <w:rFonts w:hint="eastAsia" w:cs="宋体"/>
                <w:color w:val="000000"/>
                <w:szCs w:val="24"/>
              </w:rPr>
            </w:pPr>
            <w:r>
              <w:rPr>
                <w:rFonts w:hint="eastAsia" w:cs="宋体"/>
                <w:color w:val="000000"/>
                <w:szCs w:val="24"/>
              </w:rPr>
              <w:t>1年</w:t>
            </w:r>
            <w:r>
              <w:rPr>
                <w:rFonts w:hint="eastAsia" w:cs="宋体"/>
                <w:color w:val="000000"/>
                <w:szCs w:val="24"/>
                <w:lang w:val="en-US" w:eastAsia="zh-CN"/>
              </w:rPr>
              <w:t>不少于2</w:t>
            </w:r>
            <w:r>
              <w:rPr>
                <w:rFonts w:hint="eastAsia" w:cs="宋体"/>
                <w:color w:val="000000"/>
                <w:szCs w:val="24"/>
              </w:rPr>
              <w:t>次</w:t>
            </w:r>
          </w:p>
        </w:tc>
      </w:tr>
      <w:tr>
        <w:tblPrEx>
          <w:tblLayout w:type="fixed"/>
          <w:tblCellMar>
            <w:top w:w="0" w:type="dxa"/>
            <w:left w:w="108" w:type="dxa"/>
            <w:bottom w:w="0" w:type="dxa"/>
            <w:right w:w="108" w:type="dxa"/>
          </w:tblCellMar>
        </w:tblPrEx>
        <w:trPr>
          <w:trHeight w:val="1152" w:hRule="atLeast"/>
        </w:trPr>
        <w:tc>
          <w:tcPr>
            <w:tcW w:w="713" w:type="dxa"/>
            <w:tcBorders>
              <w:top w:val="nil"/>
              <w:left w:val="single" w:color="auto" w:sz="4" w:space="0"/>
              <w:bottom w:val="single" w:color="auto" w:sz="4" w:space="0"/>
              <w:right w:val="single" w:color="auto" w:sz="4" w:space="0"/>
            </w:tcBorders>
            <w:noWrap/>
            <w:vAlign w:val="center"/>
          </w:tcPr>
          <w:p>
            <w:pPr>
              <w:spacing w:line="240" w:lineRule="auto"/>
              <w:jc w:val="center"/>
              <w:rPr>
                <w:rFonts w:hint="eastAsia" w:cs="宋体"/>
                <w:color w:val="000000"/>
                <w:szCs w:val="24"/>
              </w:rPr>
            </w:pPr>
            <w:r>
              <w:rPr>
                <w:rFonts w:hint="eastAsia" w:cs="宋体"/>
                <w:color w:val="000000"/>
                <w:szCs w:val="24"/>
              </w:rPr>
              <w:t>2</w:t>
            </w:r>
          </w:p>
        </w:tc>
        <w:tc>
          <w:tcPr>
            <w:tcW w:w="1654" w:type="dxa"/>
            <w:tcBorders>
              <w:top w:val="nil"/>
              <w:left w:val="nil"/>
              <w:bottom w:val="single" w:color="auto" w:sz="4" w:space="0"/>
              <w:right w:val="single" w:color="auto" w:sz="4" w:space="0"/>
            </w:tcBorders>
            <w:noWrap/>
            <w:vAlign w:val="center"/>
          </w:tcPr>
          <w:p>
            <w:pPr>
              <w:spacing w:line="240" w:lineRule="auto"/>
              <w:jc w:val="center"/>
              <w:rPr>
                <w:rFonts w:hint="eastAsia" w:cs="宋体"/>
                <w:color w:val="000000"/>
                <w:szCs w:val="24"/>
              </w:rPr>
            </w:pPr>
            <w:r>
              <w:rPr>
                <w:rFonts w:hint="eastAsia" w:cs="宋体"/>
                <w:color w:val="000000"/>
                <w:szCs w:val="24"/>
              </w:rPr>
              <w:t>服务要求</w:t>
            </w:r>
          </w:p>
        </w:tc>
        <w:tc>
          <w:tcPr>
            <w:tcW w:w="6156" w:type="dxa"/>
            <w:tcBorders>
              <w:top w:val="nil"/>
              <w:left w:val="nil"/>
              <w:bottom w:val="single" w:color="auto" w:sz="4" w:space="0"/>
              <w:right w:val="single" w:color="auto" w:sz="4" w:space="0"/>
            </w:tcBorders>
            <w:vAlign w:val="center"/>
          </w:tcPr>
          <w:p>
            <w:pPr>
              <w:spacing w:line="240" w:lineRule="auto"/>
              <w:rPr>
                <w:rFonts w:hint="eastAsia" w:cs="宋体"/>
                <w:color w:val="000000"/>
                <w:szCs w:val="24"/>
              </w:rPr>
            </w:pPr>
            <w:r>
              <w:rPr>
                <w:rFonts w:hint="eastAsia" w:cs="宋体"/>
                <w:color w:val="000000"/>
                <w:szCs w:val="24"/>
              </w:rPr>
              <w:t>为提升院内信息科相关管理和技术人员安全能力，更好的开展信息化管理和运维工作，需定期为院方信息科相关人员提供安全技术培训，提升医院信息安全意识和技术知识水平。培训对象包括医院系统管理员、网络管理员、数据库管理员、安全审计员等专业技术人员。</w:t>
            </w:r>
          </w:p>
        </w:tc>
      </w:tr>
      <w:tr>
        <w:tblPrEx>
          <w:tblLayout w:type="fixed"/>
          <w:tblCellMar>
            <w:top w:w="0" w:type="dxa"/>
            <w:left w:w="108" w:type="dxa"/>
            <w:bottom w:w="0" w:type="dxa"/>
            <w:right w:w="108" w:type="dxa"/>
          </w:tblCellMar>
        </w:tblPrEx>
        <w:trPr>
          <w:trHeight w:val="3168" w:hRule="atLeast"/>
        </w:trPr>
        <w:tc>
          <w:tcPr>
            <w:tcW w:w="713" w:type="dxa"/>
            <w:tcBorders>
              <w:top w:val="nil"/>
              <w:left w:val="single" w:color="auto" w:sz="4" w:space="0"/>
              <w:bottom w:val="single" w:color="auto" w:sz="4" w:space="0"/>
              <w:right w:val="single" w:color="auto" w:sz="4" w:space="0"/>
            </w:tcBorders>
            <w:noWrap/>
            <w:vAlign w:val="center"/>
          </w:tcPr>
          <w:p>
            <w:pPr>
              <w:spacing w:line="240" w:lineRule="auto"/>
              <w:jc w:val="center"/>
              <w:rPr>
                <w:rFonts w:hint="eastAsia" w:cs="宋体"/>
                <w:color w:val="000000"/>
                <w:szCs w:val="24"/>
              </w:rPr>
            </w:pPr>
            <w:r>
              <w:rPr>
                <w:rFonts w:hint="eastAsia" w:cs="宋体"/>
                <w:color w:val="000000"/>
                <w:szCs w:val="24"/>
              </w:rPr>
              <w:t>3</w:t>
            </w:r>
          </w:p>
        </w:tc>
        <w:tc>
          <w:tcPr>
            <w:tcW w:w="1654" w:type="dxa"/>
            <w:tcBorders>
              <w:top w:val="nil"/>
              <w:left w:val="nil"/>
              <w:bottom w:val="single" w:color="auto" w:sz="4" w:space="0"/>
              <w:right w:val="single" w:color="auto" w:sz="4" w:space="0"/>
            </w:tcBorders>
            <w:noWrap/>
            <w:vAlign w:val="center"/>
          </w:tcPr>
          <w:p>
            <w:pPr>
              <w:spacing w:line="240" w:lineRule="auto"/>
              <w:jc w:val="center"/>
              <w:rPr>
                <w:rFonts w:hint="eastAsia" w:cs="宋体"/>
                <w:color w:val="000000"/>
                <w:szCs w:val="24"/>
              </w:rPr>
            </w:pPr>
            <w:r>
              <w:rPr>
                <w:rFonts w:hint="eastAsia" w:cs="宋体"/>
                <w:color w:val="000000"/>
                <w:szCs w:val="24"/>
              </w:rPr>
              <w:t>培训内容</w:t>
            </w:r>
          </w:p>
        </w:tc>
        <w:tc>
          <w:tcPr>
            <w:tcW w:w="6156" w:type="dxa"/>
            <w:tcBorders>
              <w:top w:val="nil"/>
              <w:left w:val="nil"/>
              <w:bottom w:val="single" w:color="auto" w:sz="4" w:space="0"/>
              <w:right w:val="single" w:color="auto" w:sz="4" w:space="0"/>
            </w:tcBorders>
            <w:vAlign w:val="center"/>
          </w:tcPr>
          <w:p>
            <w:pPr>
              <w:spacing w:line="240" w:lineRule="auto"/>
              <w:rPr>
                <w:rFonts w:hint="eastAsia" w:cs="宋体"/>
                <w:color w:val="000000"/>
                <w:szCs w:val="24"/>
              </w:rPr>
            </w:pPr>
            <w:r>
              <w:rPr>
                <w:rFonts w:hint="eastAsia" w:cs="宋体"/>
                <w:color w:val="000000"/>
                <w:szCs w:val="24"/>
              </w:rPr>
              <w:t>培训内容包括但不限于以下内容：</w:t>
            </w:r>
            <w:r>
              <w:rPr>
                <w:rFonts w:hint="eastAsia" w:cs="宋体"/>
                <w:color w:val="000000"/>
                <w:szCs w:val="24"/>
              </w:rPr>
              <w:br w:type="textWrapping"/>
            </w:r>
            <w:r>
              <w:rPr>
                <w:rFonts w:hint="eastAsia" w:cs="宋体"/>
                <w:color w:val="000000"/>
                <w:szCs w:val="24"/>
              </w:rPr>
              <w:t>1. 国家等级保护、密评、数据安全相关内容：解读网络安全等级保护、密码应用安全性评估、数据安全建设相关政策、法规要求，建设流程、步骤、合规方案。</w:t>
            </w:r>
            <w:r>
              <w:rPr>
                <w:rFonts w:hint="eastAsia" w:cs="宋体"/>
                <w:color w:val="000000"/>
                <w:szCs w:val="24"/>
              </w:rPr>
              <w:br w:type="textWrapping"/>
            </w:r>
            <w:r>
              <w:rPr>
                <w:rFonts w:hint="eastAsia" w:cs="宋体"/>
                <w:color w:val="000000"/>
                <w:szCs w:val="24"/>
              </w:rPr>
              <w:t>2. 行业安全建设相关应用技术：如医疗行业数据分类分级实践案例分享、医疗云安全实际落地建设技术应用、医疗行业信创安全建设与改造实践等。</w:t>
            </w:r>
            <w:r>
              <w:rPr>
                <w:rFonts w:hint="eastAsia" w:cs="宋体"/>
                <w:color w:val="000000"/>
                <w:szCs w:val="24"/>
              </w:rPr>
              <w:br w:type="textWrapping"/>
            </w:r>
            <w:r>
              <w:rPr>
                <w:rFonts w:hint="eastAsia" w:cs="宋体"/>
                <w:color w:val="000000"/>
                <w:szCs w:val="24"/>
              </w:rPr>
              <w:t>3. 各领域场景安全技术主体培训：数据库安全防护技术、web应用安全防护技术、医院无线安全建设技术实践等。</w:t>
            </w:r>
            <w:r>
              <w:rPr>
                <w:rFonts w:hint="eastAsia" w:cs="宋体"/>
                <w:color w:val="000000"/>
                <w:szCs w:val="24"/>
              </w:rPr>
              <w:br w:type="textWrapping"/>
            </w:r>
            <w:r>
              <w:rPr>
                <w:rFonts w:hint="eastAsia" w:cs="宋体"/>
                <w:color w:val="000000"/>
                <w:szCs w:val="24"/>
              </w:rPr>
              <w:t>每次培训前，提前与院方沟通具体培训内容、培训对象、时间地点安排等信息。</w:t>
            </w:r>
          </w:p>
        </w:tc>
      </w:tr>
      <w:tr>
        <w:tblPrEx>
          <w:tblLayout w:type="fixed"/>
          <w:tblCellMar>
            <w:top w:w="0" w:type="dxa"/>
            <w:left w:w="108" w:type="dxa"/>
            <w:bottom w:w="0" w:type="dxa"/>
            <w:right w:w="108" w:type="dxa"/>
          </w:tblCellMar>
        </w:tblPrEx>
        <w:trPr>
          <w:trHeight w:val="288" w:hRule="atLeast"/>
        </w:trPr>
        <w:tc>
          <w:tcPr>
            <w:tcW w:w="713" w:type="dxa"/>
            <w:tcBorders>
              <w:top w:val="nil"/>
              <w:left w:val="single" w:color="auto" w:sz="4" w:space="0"/>
              <w:bottom w:val="single" w:color="auto" w:sz="4" w:space="0"/>
              <w:right w:val="single" w:color="auto" w:sz="4" w:space="0"/>
            </w:tcBorders>
            <w:noWrap/>
            <w:vAlign w:val="center"/>
          </w:tcPr>
          <w:p>
            <w:pPr>
              <w:spacing w:line="240" w:lineRule="auto"/>
              <w:jc w:val="center"/>
              <w:rPr>
                <w:rFonts w:hint="eastAsia" w:cs="宋体"/>
                <w:color w:val="000000"/>
                <w:szCs w:val="24"/>
              </w:rPr>
            </w:pPr>
            <w:r>
              <w:rPr>
                <w:rFonts w:hint="eastAsia" w:cs="宋体"/>
                <w:color w:val="000000"/>
                <w:szCs w:val="24"/>
              </w:rPr>
              <w:t>4</w:t>
            </w:r>
          </w:p>
        </w:tc>
        <w:tc>
          <w:tcPr>
            <w:tcW w:w="1654" w:type="dxa"/>
            <w:tcBorders>
              <w:top w:val="nil"/>
              <w:left w:val="nil"/>
              <w:bottom w:val="single" w:color="auto" w:sz="4" w:space="0"/>
              <w:right w:val="single" w:color="auto" w:sz="4" w:space="0"/>
            </w:tcBorders>
            <w:noWrap/>
            <w:vAlign w:val="center"/>
          </w:tcPr>
          <w:p>
            <w:pPr>
              <w:spacing w:line="240" w:lineRule="auto"/>
              <w:jc w:val="center"/>
              <w:rPr>
                <w:rFonts w:hint="eastAsia" w:cs="宋体"/>
                <w:color w:val="000000"/>
                <w:szCs w:val="24"/>
              </w:rPr>
            </w:pPr>
            <w:r>
              <w:rPr>
                <w:rFonts w:hint="eastAsia" w:cs="宋体"/>
                <w:color w:val="000000"/>
                <w:szCs w:val="24"/>
              </w:rPr>
              <w:t>服务交付</w:t>
            </w:r>
          </w:p>
        </w:tc>
        <w:tc>
          <w:tcPr>
            <w:tcW w:w="6156" w:type="dxa"/>
            <w:tcBorders>
              <w:top w:val="nil"/>
              <w:left w:val="nil"/>
              <w:bottom w:val="single" w:color="auto" w:sz="4" w:space="0"/>
              <w:right w:val="single" w:color="auto" w:sz="4" w:space="0"/>
            </w:tcBorders>
            <w:noWrap/>
            <w:vAlign w:val="center"/>
          </w:tcPr>
          <w:p>
            <w:pPr>
              <w:spacing w:line="240" w:lineRule="auto"/>
              <w:rPr>
                <w:rFonts w:hint="eastAsia" w:cs="宋体"/>
                <w:color w:val="000000"/>
                <w:szCs w:val="24"/>
              </w:rPr>
            </w:pPr>
            <w:r>
              <w:rPr>
                <w:rFonts w:hint="eastAsia" w:cs="宋体"/>
                <w:color w:val="000000"/>
                <w:szCs w:val="24"/>
              </w:rPr>
              <w:t>培训相关的文档材料（PPT、图纸、WORD文档、问卷等）</w:t>
            </w:r>
          </w:p>
        </w:tc>
      </w:tr>
    </w:tbl>
    <w:p>
      <w:pPr>
        <w:rPr>
          <w:rFonts w:hint="eastAsia"/>
          <w:szCs w:val="21"/>
        </w:rPr>
      </w:pPr>
    </w:p>
    <w:p>
      <w:pPr>
        <w:rPr>
          <w:rFonts w:hint="eastAsia"/>
        </w:rPr>
      </w:pPr>
    </w:p>
    <w:p>
      <w:pPr>
        <w:pStyle w:val="3"/>
      </w:pPr>
      <w:r>
        <w:t>项目实施</w:t>
      </w:r>
      <w:r>
        <w:rPr>
          <w:rFonts w:hint="eastAsia"/>
        </w:rPr>
        <w:t>及交付要求</w:t>
      </w:r>
    </w:p>
    <w:tbl>
      <w:tblPr>
        <w:tblStyle w:val="33"/>
        <w:tblW w:w="8523" w:type="dxa"/>
        <w:tblInd w:w="0" w:type="dxa"/>
        <w:tblLayout w:type="fixed"/>
        <w:tblCellMar>
          <w:top w:w="0" w:type="dxa"/>
          <w:left w:w="108" w:type="dxa"/>
          <w:bottom w:w="0" w:type="dxa"/>
          <w:right w:w="108" w:type="dxa"/>
        </w:tblCellMar>
      </w:tblPr>
      <w:tblGrid>
        <w:gridCol w:w="837"/>
        <w:gridCol w:w="1778"/>
        <w:gridCol w:w="5908"/>
      </w:tblGrid>
      <w:tr>
        <w:tblPrEx>
          <w:tblLayout w:type="fixed"/>
          <w:tblCellMar>
            <w:top w:w="0" w:type="dxa"/>
            <w:left w:w="108" w:type="dxa"/>
            <w:bottom w:w="0" w:type="dxa"/>
            <w:right w:w="108" w:type="dxa"/>
          </w:tblCellMar>
        </w:tblPrEx>
        <w:trPr>
          <w:trHeight w:val="288" w:hRule="atLeast"/>
        </w:trPr>
        <w:tc>
          <w:tcPr>
            <w:tcW w:w="837" w:type="dxa"/>
            <w:tcBorders>
              <w:top w:val="single" w:color="auto" w:sz="4" w:space="0"/>
              <w:left w:val="single" w:color="auto" w:sz="4" w:space="0"/>
              <w:bottom w:val="single" w:color="auto" w:sz="4" w:space="0"/>
              <w:right w:val="single" w:color="auto" w:sz="4" w:space="0"/>
            </w:tcBorders>
            <w:noWrap/>
            <w:vAlign w:val="center"/>
          </w:tcPr>
          <w:p>
            <w:pPr>
              <w:spacing w:line="240" w:lineRule="auto"/>
              <w:jc w:val="center"/>
              <w:rPr>
                <w:rFonts w:hint="eastAsia" w:cs="宋体"/>
                <w:b/>
                <w:bCs/>
                <w:color w:val="000000"/>
                <w:szCs w:val="24"/>
              </w:rPr>
            </w:pPr>
            <w:r>
              <w:rPr>
                <w:rFonts w:hint="eastAsia" w:cs="宋体"/>
                <w:b/>
                <w:bCs/>
                <w:color w:val="000000"/>
                <w:szCs w:val="24"/>
              </w:rPr>
              <w:t>序号</w:t>
            </w:r>
          </w:p>
        </w:tc>
        <w:tc>
          <w:tcPr>
            <w:tcW w:w="1778" w:type="dxa"/>
            <w:tcBorders>
              <w:top w:val="single" w:color="auto" w:sz="4" w:space="0"/>
              <w:left w:val="nil"/>
              <w:bottom w:val="single" w:color="auto" w:sz="4" w:space="0"/>
              <w:right w:val="single" w:color="auto" w:sz="4" w:space="0"/>
            </w:tcBorders>
            <w:noWrap/>
            <w:vAlign w:val="center"/>
          </w:tcPr>
          <w:p>
            <w:pPr>
              <w:spacing w:line="240" w:lineRule="auto"/>
              <w:jc w:val="center"/>
              <w:rPr>
                <w:rFonts w:hint="eastAsia" w:cs="宋体"/>
                <w:b/>
                <w:bCs/>
                <w:color w:val="000000"/>
                <w:szCs w:val="24"/>
              </w:rPr>
            </w:pPr>
            <w:r>
              <w:rPr>
                <w:rFonts w:hint="eastAsia" w:cs="宋体"/>
                <w:b/>
                <w:bCs/>
                <w:color w:val="000000"/>
                <w:szCs w:val="24"/>
              </w:rPr>
              <w:t>指标项</w:t>
            </w:r>
          </w:p>
        </w:tc>
        <w:tc>
          <w:tcPr>
            <w:tcW w:w="5908" w:type="dxa"/>
            <w:tcBorders>
              <w:top w:val="single" w:color="auto" w:sz="4" w:space="0"/>
              <w:left w:val="nil"/>
              <w:bottom w:val="single" w:color="auto" w:sz="4" w:space="0"/>
              <w:right w:val="single" w:color="auto" w:sz="4" w:space="0"/>
            </w:tcBorders>
            <w:vAlign w:val="center"/>
          </w:tcPr>
          <w:p>
            <w:pPr>
              <w:spacing w:line="240" w:lineRule="auto"/>
              <w:jc w:val="center"/>
              <w:rPr>
                <w:rFonts w:hint="eastAsia" w:cs="宋体"/>
                <w:b/>
                <w:bCs/>
                <w:color w:val="000000"/>
                <w:szCs w:val="24"/>
              </w:rPr>
            </w:pPr>
            <w:r>
              <w:rPr>
                <w:rFonts w:hint="eastAsia" w:cs="宋体"/>
                <w:b/>
                <w:bCs/>
                <w:color w:val="000000"/>
                <w:szCs w:val="24"/>
              </w:rPr>
              <w:t>指标要求</w:t>
            </w:r>
          </w:p>
        </w:tc>
      </w:tr>
      <w:tr>
        <w:tblPrEx>
          <w:tblLayout w:type="fixed"/>
          <w:tblCellMar>
            <w:top w:w="0" w:type="dxa"/>
            <w:left w:w="108" w:type="dxa"/>
            <w:bottom w:w="0" w:type="dxa"/>
            <w:right w:w="108" w:type="dxa"/>
          </w:tblCellMar>
        </w:tblPrEx>
        <w:trPr>
          <w:trHeight w:val="288" w:hRule="atLeast"/>
        </w:trPr>
        <w:tc>
          <w:tcPr>
            <w:tcW w:w="837" w:type="dxa"/>
            <w:tcBorders>
              <w:top w:val="nil"/>
              <w:left w:val="single" w:color="auto" w:sz="4" w:space="0"/>
              <w:bottom w:val="single" w:color="auto" w:sz="4" w:space="0"/>
              <w:right w:val="single" w:color="auto" w:sz="4" w:space="0"/>
            </w:tcBorders>
            <w:noWrap/>
            <w:vAlign w:val="center"/>
          </w:tcPr>
          <w:p>
            <w:pPr>
              <w:spacing w:line="240" w:lineRule="auto"/>
              <w:jc w:val="center"/>
              <w:rPr>
                <w:rFonts w:hint="eastAsia" w:cs="宋体"/>
                <w:color w:val="000000"/>
                <w:szCs w:val="24"/>
              </w:rPr>
            </w:pPr>
            <w:r>
              <w:rPr>
                <w:rFonts w:hint="eastAsia" w:cs="宋体"/>
                <w:color w:val="000000"/>
                <w:szCs w:val="24"/>
              </w:rPr>
              <w:t>1</w:t>
            </w:r>
          </w:p>
        </w:tc>
        <w:tc>
          <w:tcPr>
            <w:tcW w:w="1778" w:type="dxa"/>
            <w:tcBorders>
              <w:top w:val="nil"/>
              <w:left w:val="nil"/>
              <w:bottom w:val="single" w:color="auto" w:sz="4" w:space="0"/>
              <w:right w:val="single" w:color="auto" w:sz="4" w:space="0"/>
            </w:tcBorders>
            <w:noWrap/>
            <w:vAlign w:val="center"/>
          </w:tcPr>
          <w:p>
            <w:pPr>
              <w:spacing w:line="240" w:lineRule="auto"/>
              <w:jc w:val="center"/>
              <w:rPr>
                <w:rFonts w:hint="eastAsia" w:cs="宋体"/>
                <w:color w:val="000000"/>
                <w:szCs w:val="24"/>
              </w:rPr>
            </w:pPr>
            <w:r>
              <w:rPr>
                <w:rFonts w:hint="eastAsia" w:cs="宋体"/>
                <w:color w:val="000000"/>
                <w:szCs w:val="24"/>
              </w:rPr>
              <w:t>项目周期</w:t>
            </w:r>
          </w:p>
        </w:tc>
        <w:tc>
          <w:tcPr>
            <w:tcW w:w="5908" w:type="dxa"/>
            <w:tcBorders>
              <w:top w:val="nil"/>
              <w:left w:val="nil"/>
              <w:bottom w:val="single" w:color="auto" w:sz="4" w:space="0"/>
              <w:right w:val="single" w:color="auto" w:sz="4" w:space="0"/>
            </w:tcBorders>
            <w:noWrap/>
            <w:vAlign w:val="center"/>
          </w:tcPr>
          <w:p>
            <w:pPr>
              <w:spacing w:line="240" w:lineRule="auto"/>
              <w:rPr>
                <w:rFonts w:hint="eastAsia" w:cs="宋体"/>
                <w:color w:val="000000"/>
                <w:szCs w:val="24"/>
              </w:rPr>
            </w:pPr>
            <w:r>
              <w:rPr>
                <w:rFonts w:hint="eastAsia" w:cs="宋体"/>
                <w:color w:val="000000"/>
                <w:szCs w:val="24"/>
              </w:rPr>
              <w:t>签订合同之日起一年。</w:t>
            </w:r>
          </w:p>
        </w:tc>
      </w:tr>
      <w:tr>
        <w:tblPrEx>
          <w:tblLayout w:type="fixed"/>
          <w:tblCellMar>
            <w:top w:w="0" w:type="dxa"/>
            <w:left w:w="108" w:type="dxa"/>
            <w:bottom w:w="0" w:type="dxa"/>
            <w:right w:w="108" w:type="dxa"/>
          </w:tblCellMar>
        </w:tblPrEx>
        <w:trPr>
          <w:trHeight w:val="2304" w:hRule="atLeast"/>
        </w:trPr>
        <w:tc>
          <w:tcPr>
            <w:tcW w:w="837" w:type="dxa"/>
            <w:tcBorders>
              <w:top w:val="nil"/>
              <w:left w:val="single" w:color="auto" w:sz="4" w:space="0"/>
              <w:bottom w:val="single" w:color="auto" w:sz="4" w:space="0"/>
              <w:right w:val="single" w:color="auto" w:sz="4" w:space="0"/>
            </w:tcBorders>
            <w:noWrap/>
            <w:vAlign w:val="center"/>
          </w:tcPr>
          <w:p>
            <w:pPr>
              <w:spacing w:line="240" w:lineRule="auto"/>
              <w:jc w:val="center"/>
              <w:rPr>
                <w:rFonts w:hint="eastAsia" w:cs="宋体"/>
                <w:color w:val="000000"/>
                <w:szCs w:val="24"/>
              </w:rPr>
            </w:pPr>
            <w:r>
              <w:rPr>
                <w:rFonts w:hint="eastAsia" w:cs="宋体"/>
                <w:color w:val="000000"/>
                <w:szCs w:val="24"/>
              </w:rPr>
              <w:t>2</w:t>
            </w:r>
          </w:p>
        </w:tc>
        <w:tc>
          <w:tcPr>
            <w:tcW w:w="1778" w:type="dxa"/>
            <w:tcBorders>
              <w:top w:val="nil"/>
              <w:left w:val="nil"/>
              <w:bottom w:val="single" w:color="auto" w:sz="4" w:space="0"/>
              <w:right w:val="single" w:color="auto" w:sz="4" w:space="0"/>
            </w:tcBorders>
            <w:noWrap/>
            <w:vAlign w:val="center"/>
          </w:tcPr>
          <w:p>
            <w:pPr>
              <w:spacing w:line="240" w:lineRule="auto"/>
              <w:jc w:val="center"/>
              <w:rPr>
                <w:rFonts w:hint="eastAsia" w:cs="宋体"/>
                <w:color w:val="000000"/>
                <w:szCs w:val="24"/>
              </w:rPr>
            </w:pPr>
            <w:r>
              <w:rPr>
                <w:rFonts w:hint="eastAsia" w:cs="宋体"/>
                <w:color w:val="000000"/>
                <w:szCs w:val="24"/>
              </w:rPr>
              <w:t>交付要求</w:t>
            </w:r>
          </w:p>
        </w:tc>
        <w:tc>
          <w:tcPr>
            <w:tcW w:w="5908" w:type="dxa"/>
            <w:tcBorders>
              <w:top w:val="nil"/>
              <w:left w:val="nil"/>
              <w:bottom w:val="single" w:color="auto" w:sz="4" w:space="0"/>
              <w:right w:val="single" w:color="auto" w:sz="4" w:space="0"/>
            </w:tcBorders>
            <w:vAlign w:val="center"/>
          </w:tcPr>
          <w:p>
            <w:pPr>
              <w:spacing w:line="240" w:lineRule="auto"/>
              <w:rPr>
                <w:rFonts w:hint="eastAsia" w:cs="宋体"/>
                <w:color w:val="000000"/>
                <w:szCs w:val="24"/>
              </w:rPr>
            </w:pPr>
            <w:r>
              <w:rPr>
                <w:rFonts w:hint="eastAsia" w:cs="宋体"/>
                <w:color w:val="000000"/>
                <w:szCs w:val="24"/>
              </w:rPr>
              <w:t>1. 在项目实施过程中能按计划推进项目，按时按质完成工作。</w:t>
            </w:r>
            <w:r>
              <w:rPr>
                <w:rFonts w:hint="eastAsia" w:cs="宋体"/>
                <w:color w:val="000000"/>
                <w:szCs w:val="24"/>
              </w:rPr>
              <w:br w:type="textWrapping"/>
            </w:r>
            <w:r>
              <w:rPr>
                <w:rFonts w:hint="eastAsia" w:cs="宋体"/>
                <w:color w:val="000000"/>
                <w:szCs w:val="24"/>
              </w:rPr>
              <w:t>2. 服务期间，提供项目进度汇报；</w:t>
            </w:r>
            <w:r>
              <w:rPr>
                <w:rFonts w:hint="eastAsia" w:cs="宋体"/>
                <w:color w:val="000000"/>
                <w:szCs w:val="24"/>
              </w:rPr>
              <w:br w:type="textWrapping"/>
            </w:r>
            <w:r>
              <w:rPr>
                <w:rFonts w:hint="eastAsia" w:cs="宋体"/>
                <w:color w:val="000000"/>
                <w:szCs w:val="24"/>
              </w:rPr>
              <w:t>3. 中标方的实施人员须具备丰富的服务实施经验；</w:t>
            </w:r>
            <w:r>
              <w:rPr>
                <w:rFonts w:hint="eastAsia" w:cs="宋体"/>
                <w:color w:val="000000"/>
                <w:szCs w:val="24"/>
              </w:rPr>
              <w:br w:type="textWrapping"/>
            </w:r>
            <w:r>
              <w:rPr>
                <w:rFonts w:hint="eastAsia" w:cs="宋体"/>
                <w:color w:val="000000"/>
                <w:szCs w:val="24"/>
              </w:rPr>
              <w:t>4. 须保证对本项目实施中所获得任何资料和信息严格保密，并与我院签订保密责任书；</w:t>
            </w:r>
            <w:r>
              <w:rPr>
                <w:rFonts w:hint="eastAsia" w:cs="宋体"/>
                <w:color w:val="000000"/>
                <w:szCs w:val="24"/>
              </w:rPr>
              <w:br w:type="textWrapping"/>
            </w:r>
            <w:r>
              <w:rPr>
                <w:rFonts w:hint="eastAsia" w:cs="宋体"/>
                <w:color w:val="000000"/>
                <w:szCs w:val="24"/>
              </w:rPr>
              <w:t>5. 服务中产生的全部档案资料版权归佛山市第二人民医院所有，未经佛山市第二人民医院允许的情况下，不得以任何形式向第三方提供安全技术文档的全部或部分内容。</w:t>
            </w:r>
          </w:p>
        </w:tc>
      </w:tr>
    </w:tbl>
    <w:p>
      <w:pPr>
        <w:rPr>
          <w:rFonts w:hint="eastAsia"/>
        </w:rPr>
      </w:pPr>
    </w:p>
    <w:p>
      <w:pPr>
        <w:pStyle w:val="3"/>
        <w:spacing w:line="360" w:lineRule="auto"/>
      </w:pPr>
      <w:r>
        <w:rPr>
          <w:rFonts w:hint="eastAsia"/>
        </w:rPr>
        <w:t>服务工具要求</w:t>
      </w:r>
    </w:p>
    <w:tbl>
      <w:tblPr>
        <w:tblStyle w:val="33"/>
        <w:tblW w:w="8523" w:type="dxa"/>
        <w:tblInd w:w="0" w:type="dxa"/>
        <w:tblLayout w:type="fixed"/>
        <w:tblCellMar>
          <w:top w:w="0" w:type="dxa"/>
          <w:left w:w="108" w:type="dxa"/>
          <w:bottom w:w="0" w:type="dxa"/>
          <w:right w:w="108" w:type="dxa"/>
        </w:tblCellMar>
      </w:tblPr>
      <w:tblGrid>
        <w:gridCol w:w="837"/>
        <w:gridCol w:w="1778"/>
        <w:gridCol w:w="5908"/>
      </w:tblGrid>
      <w:tr>
        <w:tblPrEx>
          <w:tblLayout w:type="fixed"/>
          <w:tblCellMar>
            <w:top w:w="0" w:type="dxa"/>
            <w:left w:w="108" w:type="dxa"/>
            <w:bottom w:w="0" w:type="dxa"/>
            <w:right w:w="108" w:type="dxa"/>
          </w:tblCellMar>
        </w:tblPrEx>
        <w:trPr>
          <w:trHeight w:val="288" w:hRule="atLeast"/>
        </w:trPr>
        <w:tc>
          <w:tcPr>
            <w:tcW w:w="837" w:type="dxa"/>
            <w:tcBorders>
              <w:top w:val="single" w:color="auto" w:sz="4" w:space="0"/>
              <w:left w:val="single" w:color="auto" w:sz="4" w:space="0"/>
              <w:bottom w:val="single" w:color="auto" w:sz="4" w:space="0"/>
              <w:right w:val="single" w:color="auto" w:sz="4" w:space="0"/>
            </w:tcBorders>
            <w:noWrap/>
            <w:vAlign w:val="center"/>
          </w:tcPr>
          <w:p>
            <w:pPr>
              <w:spacing w:line="240" w:lineRule="auto"/>
              <w:jc w:val="center"/>
              <w:rPr>
                <w:rFonts w:hint="eastAsia" w:cs="宋体"/>
                <w:b/>
                <w:bCs/>
                <w:color w:val="000000"/>
                <w:szCs w:val="24"/>
              </w:rPr>
            </w:pPr>
            <w:r>
              <w:rPr>
                <w:rFonts w:hint="eastAsia" w:cs="宋体"/>
                <w:b/>
                <w:bCs/>
                <w:color w:val="000000"/>
                <w:szCs w:val="24"/>
              </w:rPr>
              <w:t>序号</w:t>
            </w:r>
          </w:p>
        </w:tc>
        <w:tc>
          <w:tcPr>
            <w:tcW w:w="1778" w:type="dxa"/>
            <w:tcBorders>
              <w:top w:val="single" w:color="auto" w:sz="4" w:space="0"/>
              <w:left w:val="nil"/>
              <w:bottom w:val="single" w:color="auto" w:sz="4" w:space="0"/>
              <w:right w:val="single" w:color="auto" w:sz="4" w:space="0"/>
            </w:tcBorders>
            <w:vAlign w:val="center"/>
          </w:tcPr>
          <w:p>
            <w:pPr>
              <w:spacing w:line="240" w:lineRule="auto"/>
              <w:jc w:val="center"/>
              <w:rPr>
                <w:rFonts w:hint="eastAsia" w:cs="宋体"/>
                <w:b/>
                <w:bCs/>
                <w:color w:val="000000"/>
                <w:szCs w:val="24"/>
              </w:rPr>
            </w:pPr>
            <w:r>
              <w:rPr>
                <w:rFonts w:hint="eastAsia" w:cs="宋体"/>
                <w:b/>
                <w:bCs/>
                <w:color w:val="000000"/>
                <w:szCs w:val="24"/>
              </w:rPr>
              <w:t>指标项</w:t>
            </w:r>
          </w:p>
        </w:tc>
        <w:tc>
          <w:tcPr>
            <w:tcW w:w="5908" w:type="dxa"/>
            <w:tcBorders>
              <w:top w:val="single" w:color="auto" w:sz="4" w:space="0"/>
              <w:left w:val="nil"/>
              <w:bottom w:val="single" w:color="auto" w:sz="4" w:space="0"/>
              <w:right w:val="single" w:color="auto" w:sz="4" w:space="0"/>
            </w:tcBorders>
            <w:vAlign w:val="center"/>
          </w:tcPr>
          <w:p>
            <w:pPr>
              <w:spacing w:line="240" w:lineRule="auto"/>
              <w:jc w:val="center"/>
              <w:rPr>
                <w:rFonts w:hint="eastAsia" w:cs="宋体"/>
                <w:b/>
                <w:bCs/>
                <w:color w:val="000000"/>
                <w:szCs w:val="24"/>
              </w:rPr>
            </w:pPr>
            <w:r>
              <w:rPr>
                <w:rFonts w:hint="eastAsia" w:cs="宋体"/>
                <w:b/>
                <w:bCs/>
                <w:color w:val="000000"/>
                <w:szCs w:val="24"/>
              </w:rPr>
              <w:t>指标要求</w:t>
            </w:r>
          </w:p>
        </w:tc>
      </w:tr>
      <w:tr>
        <w:tblPrEx>
          <w:tblLayout w:type="fixed"/>
          <w:tblCellMar>
            <w:top w:w="0" w:type="dxa"/>
            <w:left w:w="108" w:type="dxa"/>
            <w:bottom w:w="0" w:type="dxa"/>
            <w:right w:w="108" w:type="dxa"/>
          </w:tblCellMar>
        </w:tblPrEx>
        <w:trPr>
          <w:trHeight w:val="2880" w:hRule="atLeast"/>
        </w:trPr>
        <w:tc>
          <w:tcPr>
            <w:tcW w:w="837" w:type="dxa"/>
            <w:tcBorders>
              <w:top w:val="nil"/>
              <w:left w:val="single" w:color="auto" w:sz="4" w:space="0"/>
              <w:bottom w:val="single" w:color="auto" w:sz="4" w:space="0"/>
              <w:right w:val="single" w:color="auto" w:sz="4" w:space="0"/>
            </w:tcBorders>
            <w:noWrap/>
            <w:vAlign w:val="center"/>
          </w:tcPr>
          <w:p>
            <w:pPr>
              <w:spacing w:line="240" w:lineRule="auto"/>
              <w:jc w:val="center"/>
              <w:rPr>
                <w:rFonts w:hint="eastAsia" w:cs="宋体"/>
                <w:color w:val="000000"/>
                <w:szCs w:val="24"/>
              </w:rPr>
            </w:pPr>
            <w:r>
              <w:rPr>
                <w:rFonts w:hint="eastAsia" w:cs="宋体"/>
                <w:color w:val="000000"/>
                <w:szCs w:val="24"/>
              </w:rPr>
              <w:t>1</w:t>
            </w:r>
          </w:p>
        </w:tc>
        <w:tc>
          <w:tcPr>
            <w:tcW w:w="1778" w:type="dxa"/>
            <w:tcBorders>
              <w:top w:val="nil"/>
              <w:left w:val="nil"/>
              <w:bottom w:val="single" w:color="auto" w:sz="4" w:space="0"/>
              <w:right w:val="single" w:color="auto" w:sz="4" w:space="0"/>
            </w:tcBorders>
            <w:vAlign w:val="center"/>
          </w:tcPr>
          <w:p>
            <w:pPr>
              <w:spacing w:line="240" w:lineRule="auto"/>
              <w:jc w:val="center"/>
              <w:rPr>
                <w:rFonts w:hint="eastAsia" w:cs="宋体"/>
                <w:color w:val="000000"/>
                <w:szCs w:val="24"/>
              </w:rPr>
            </w:pPr>
            <w:r>
              <w:rPr>
                <w:rFonts w:hint="eastAsia" w:cs="宋体"/>
                <w:color w:val="000000"/>
                <w:szCs w:val="24"/>
              </w:rPr>
              <w:t>▲漏洞扫描工具</w:t>
            </w:r>
          </w:p>
        </w:tc>
        <w:tc>
          <w:tcPr>
            <w:tcW w:w="5908" w:type="dxa"/>
            <w:tcBorders>
              <w:top w:val="nil"/>
              <w:left w:val="nil"/>
              <w:bottom w:val="single" w:color="auto" w:sz="4" w:space="0"/>
              <w:right w:val="single" w:color="auto" w:sz="4" w:space="0"/>
            </w:tcBorders>
            <w:vAlign w:val="center"/>
          </w:tcPr>
          <w:p>
            <w:pPr>
              <w:spacing w:line="240" w:lineRule="auto"/>
              <w:rPr>
                <w:rFonts w:hint="eastAsia" w:cs="宋体"/>
                <w:color w:val="000000"/>
                <w:szCs w:val="24"/>
              </w:rPr>
            </w:pPr>
            <w:r>
              <w:rPr>
                <w:rFonts w:hint="eastAsia" w:cs="宋体"/>
                <w:color w:val="000000"/>
                <w:szCs w:val="24"/>
              </w:rPr>
              <w:t>本项目漏洞扫描服务需服务商自行准备漏洞扫描服务工具，为确保服务质量，所提供的漏洞扫描服务工具需具备以下能力：</w:t>
            </w:r>
            <w:r>
              <w:rPr>
                <w:rFonts w:hint="eastAsia" w:cs="宋体"/>
                <w:color w:val="000000"/>
                <w:szCs w:val="24"/>
              </w:rPr>
              <w:br w:type="textWrapping"/>
            </w:r>
            <w:r>
              <w:rPr>
                <w:rFonts w:hint="eastAsia" w:cs="宋体"/>
                <w:color w:val="000000"/>
                <w:szCs w:val="24"/>
              </w:rPr>
              <w:t>1.所采用的漏洞扫描设备或系统需为近三年（2021-2023）市场占有率前三的品牌</w:t>
            </w:r>
            <w:r>
              <w:rPr>
                <w:rFonts w:hint="eastAsia" w:cs="宋体"/>
                <w:b/>
                <w:bCs/>
                <w:color w:val="000000"/>
                <w:szCs w:val="24"/>
              </w:rPr>
              <w:t>（提供服务商设备采购合同、厂家市场占有率官网截图或证明材料）。</w:t>
            </w:r>
            <w:r>
              <w:rPr>
                <w:rFonts w:hint="eastAsia" w:cs="宋体"/>
                <w:color w:val="000000"/>
                <w:szCs w:val="24"/>
              </w:rPr>
              <w:br w:type="textWrapping"/>
            </w:r>
            <w:r>
              <w:rPr>
                <w:rFonts w:hint="eastAsia" w:cs="宋体"/>
                <w:color w:val="000000"/>
                <w:szCs w:val="24"/>
              </w:rPr>
              <w:t>2.服务商所采用的漏洞扫描设备或系统应在服务期内具备质保能力，各种规则库应能保持更新，确保工具对于最新漏洞的识别能力</w:t>
            </w:r>
            <w:r>
              <w:rPr>
                <w:rFonts w:hint="eastAsia" w:cs="宋体"/>
                <w:b/>
                <w:bCs/>
                <w:color w:val="000000"/>
                <w:szCs w:val="24"/>
              </w:rPr>
              <w:t>（提供所用漏洞扫描设备或系统服务期间质保有效期截图或证明材料）</w:t>
            </w:r>
            <w:r>
              <w:rPr>
                <w:rFonts w:hint="eastAsia" w:cs="宋体"/>
                <w:color w:val="000000"/>
                <w:szCs w:val="24"/>
              </w:rPr>
              <w:br w:type="textWrapping"/>
            </w:r>
            <w:r>
              <w:rPr>
                <w:rFonts w:hint="eastAsia" w:cs="宋体"/>
                <w:color w:val="000000"/>
                <w:szCs w:val="24"/>
              </w:rPr>
              <w:t>3.服务商所采用的漏洞扫描设备或系统支持最大并发主机扫描不低于60个，并发任务数不低于10个</w:t>
            </w:r>
            <w:r>
              <w:rPr>
                <w:rFonts w:hint="eastAsia" w:cs="宋体"/>
                <w:b/>
                <w:bCs/>
                <w:color w:val="000000"/>
                <w:szCs w:val="24"/>
              </w:rPr>
              <w:t>（提供采购合同产品参数证明）</w:t>
            </w:r>
          </w:p>
        </w:tc>
      </w:tr>
      <w:tr>
        <w:tblPrEx>
          <w:tblLayout w:type="fixed"/>
          <w:tblCellMar>
            <w:top w:w="0" w:type="dxa"/>
            <w:left w:w="108" w:type="dxa"/>
            <w:bottom w:w="0" w:type="dxa"/>
            <w:right w:w="108" w:type="dxa"/>
          </w:tblCellMar>
        </w:tblPrEx>
        <w:trPr>
          <w:trHeight w:val="3744" w:hRule="atLeast"/>
        </w:trPr>
        <w:tc>
          <w:tcPr>
            <w:tcW w:w="837" w:type="dxa"/>
            <w:tcBorders>
              <w:top w:val="nil"/>
              <w:left w:val="single" w:color="auto" w:sz="4" w:space="0"/>
              <w:bottom w:val="single" w:color="auto" w:sz="4" w:space="0"/>
              <w:right w:val="single" w:color="auto" w:sz="4" w:space="0"/>
            </w:tcBorders>
            <w:noWrap/>
            <w:vAlign w:val="center"/>
          </w:tcPr>
          <w:p>
            <w:pPr>
              <w:spacing w:line="240" w:lineRule="auto"/>
              <w:jc w:val="center"/>
              <w:rPr>
                <w:rFonts w:hint="eastAsia" w:cs="宋体"/>
                <w:color w:val="000000"/>
                <w:szCs w:val="24"/>
              </w:rPr>
            </w:pPr>
            <w:r>
              <w:rPr>
                <w:rFonts w:hint="eastAsia" w:cs="宋体"/>
                <w:color w:val="000000"/>
                <w:szCs w:val="24"/>
              </w:rPr>
              <w:t>2</w:t>
            </w:r>
          </w:p>
        </w:tc>
        <w:tc>
          <w:tcPr>
            <w:tcW w:w="1778" w:type="dxa"/>
            <w:tcBorders>
              <w:top w:val="nil"/>
              <w:left w:val="nil"/>
              <w:bottom w:val="single" w:color="auto" w:sz="4" w:space="0"/>
              <w:right w:val="single" w:color="auto" w:sz="4" w:space="0"/>
            </w:tcBorders>
            <w:vAlign w:val="center"/>
          </w:tcPr>
          <w:p>
            <w:pPr>
              <w:spacing w:line="240" w:lineRule="auto"/>
              <w:jc w:val="center"/>
              <w:rPr>
                <w:rFonts w:hint="eastAsia" w:cs="宋体"/>
                <w:color w:val="000000"/>
                <w:szCs w:val="24"/>
              </w:rPr>
            </w:pPr>
            <w:r>
              <w:rPr>
                <w:rFonts w:hint="eastAsia" w:cs="宋体"/>
                <w:color w:val="000000"/>
                <w:szCs w:val="24"/>
              </w:rPr>
              <w:t>▲安全运营保障与管理平台工具</w:t>
            </w:r>
          </w:p>
        </w:tc>
        <w:tc>
          <w:tcPr>
            <w:tcW w:w="5908" w:type="dxa"/>
            <w:tcBorders>
              <w:top w:val="nil"/>
              <w:left w:val="nil"/>
              <w:bottom w:val="single" w:color="auto" w:sz="4" w:space="0"/>
              <w:right w:val="single" w:color="auto" w:sz="4" w:space="0"/>
            </w:tcBorders>
            <w:vAlign w:val="center"/>
          </w:tcPr>
          <w:p>
            <w:pPr>
              <w:spacing w:line="240" w:lineRule="auto"/>
              <w:rPr>
                <w:rFonts w:hint="eastAsia" w:cs="宋体"/>
                <w:color w:val="000000"/>
                <w:szCs w:val="24"/>
              </w:rPr>
            </w:pPr>
            <w:r>
              <w:rPr>
                <w:rFonts w:hint="eastAsia" w:cs="宋体"/>
                <w:color w:val="000000"/>
                <w:szCs w:val="24"/>
              </w:rPr>
              <w:t>1.服务期内服务商需为医院提供一套安全运营保障与管理平台，平台可对接各类安全设备，对服务输出资产、IP、安全、运维数据进行统一管理。平台需包含资产管理系统、IP管理系统、安全管理系统、运维管理系统和工单管理系统共5个基础业务系统，并实现各业务系统之间的数据和流程的相互融合。服务商需提供安全运营保障与管理平台和各业务子系统的运维服务，包括资源监控、故障处置、软件bug修复等服务，保障平台的安全稳定运行。</w:t>
            </w:r>
            <w:r>
              <w:rPr>
                <w:rFonts w:hint="eastAsia" w:cs="宋体"/>
                <w:color w:val="000000"/>
                <w:szCs w:val="24"/>
              </w:rPr>
              <w:br w:type="textWrapping"/>
            </w:r>
            <w:r>
              <w:rPr>
                <w:rFonts w:hint="eastAsia" w:cs="宋体"/>
                <w:color w:val="000000"/>
                <w:szCs w:val="24"/>
              </w:rPr>
              <w:t>2.应能够</w:t>
            </w:r>
            <w:r>
              <w:rPr>
                <w:rFonts w:hint="eastAsia" w:cs="宋体"/>
                <w:b/>
                <w:bCs/>
                <w:color w:val="000000"/>
                <w:szCs w:val="24"/>
              </w:rPr>
              <w:t>提供各子系统的功能截图及功能说明。</w:t>
            </w:r>
            <w:r>
              <w:rPr>
                <w:rFonts w:hint="eastAsia" w:cs="宋体"/>
                <w:color w:val="000000"/>
                <w:szCs w:val="24"/>
              </w:rPr>
              <w:br w:type="textWrapping"/>
            </w:r>
            <w:r>
              <w:rPr>
                <w:rFonts w:hint="eastAsia" w:cs="宋体"/>
                <w:color w:val="000000"/>
                <w:szCs w:val="24"/>
              </w:rPr>
              <w:t>3.具备平台软件bug修复处理过程管理，可维护、追踪bug的处理进度，</w:t>
            </w:r>
            <w:r>
              <w:rPr>
                <w:rFonts w:hint="eastAsia" w:cs="宋体"/>
                <w:b/>
                <w:bCs/>
                <w:color w:val="000000"/>
                <w:szCs w:val="24"/>
              </w:rPr>
              <w:t>能够提供工具平台系统截图。</w:t>
            </w:r>
            <w:r>
              <w:rPr>
                <w:rFonts w:hint="eastAsia" w:cs="宋体"/>
                <w:color w:val="000000"/>
                <w:szCs w:val="24"/>
              </w:rPr>
              <w:br w:type="textWrapping"/>
            </w:r>
            <w:r>
              <w:rPr>
                <w:rFonts w:hint="eastAsia" w:cs="宋体"/>
                <w:color w:val="000000"/>
                <w:szCs w:val="24"/>
              </w:rPr>
              <w:t>4.运维人员可借助信息化系统完成平台资源监控，保障平台的稳定运行，包含日常巡检、服务器监控、软件服务监控等，</w:t>
            </w:r>
            <w:r>
              <w:rPr>
                <w:rFonts w:hint="eastAsia" w:cs="宋体"/>
                <w:b/>
                <w:bCs/>
                <w:color w:val="000000"/>
                <w:szCs w:val="24"/>
              </w:rPr>
              <w:t>能够提供系统的服务器性能监控、服务墙监控，自动化巡检报告的系统截图。</w:t>
            </w:r>
          </w:p>
        </w:tc>
      </w:tr>
    </w:tbl>
    <w:p>
      <w:pPr>
        <w:rPr>
          <w:rFonts w:hint="eastAsia" w:cs="宋体"/>
          <w:color w:val="000000" w:themeColor="text1"/>
          <w:szCs w:val="21"/>
          <w14:textFill>
            <w14:solidFill>
              <w14:schemeClr w14:val="tx1"/>
            </w14:solidFill>
          </w14:textFill>
        </w:rPr>
      </w:pPr>
    </w:p>
    <w:p>
      <w:pPr>
        <w:rPr>
          <w:rFonts w:hint="eastAsia"/>
          <w:szCs w:val="24"/>
        </w:rPr>
      </w:pPr>
      <w:bookmarkStart w:id="8" w:name="_GoBack"/>
      <w:bookmarkEnd w:id="8"/>
    </w:p>
    <w:p>
      <w:pPr>
        <w:rPr>
          <w:rFonts w:hint="eastAsia"/>
        </w:rPr>
      </w:pPr>
    </w:p>
    <w:sectPr>
      <w:footerReference r:id="rId5" w:type="first"/>
      <w:footerReference r:id="rId4" w:type="default"/>
      <w:pgSz w:w="11907" w:h="16839"/>
      <w:pgMar w:top="1440" w:right="1800" w:bottom="1440" w:left="1800" w:header="720" w:footer="720" w:gutter="0"/>
      <w:pgNumType w:start="1"/>
      <w:cols w:space="720" w:num="1"/>
      <w:titlePg/>
      <w:docGrid w:linePitch="32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webkit-standard">
    <w:altName w:val="Cambria"/>
    <w:panose1 w:val="00000000000000000000"/>
    <w:charset w:val="00"/>
    <w:family w:val="roman"/>
    <w:pitch w:val="default"/>
    <w:sig w:usb0="00000000" w:usb1="00000000" w:usb2="00000000" w:usb3="00000000" w:csb0="00000000" w:csb1="00000000"/>
  </w:font>
  <w:font w:name="Segoe UI">
    <w:panose1 w:val="020B0502040204020203"/>
    <w:charset w:val="00"/>
    <w:family w:val="auto"/>
    <w:pitch w:val="default"/>
    <w:sig w:usb0="E4002EFF" w:usb1="C000E47F" w:usb2="00000009" w:usb3="00000000" w:csb0="200001FF"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2"/>
      <w:rPr>
        <w:rFonts w:hint="eastAsia"/>
      </w:rPr>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2"/>
                            <w:rPr>
                              <w:rFonts w:hint="eastAsia"/>
                            </w:rPr>
                          </w:pPr>
                          <w:r>
                            <w:t xml:space="preserve">第 </w:t>
                          </w:r>
                          <w:r>
                            <w:fldChar w:fldCharType="begin"/>
                          </w:r>
                          <w:r>
                            <w:instrText xml:space="preserve"> PAGE  \* MERGEFORMAT </w:instrText>
                          </w:r>
                          <w:r>
                            <w:fldChar w:fldCharType="separate"/>
                          </w:r>
                          <w:r>
                            <w:t>29</w:t>
                          </w:r>
                          <w:r>
                            <w:fldChar w:fldCharType="end"/>
                          </w:r>
                          <w:r>
                            <w:t xml:space="preserve"> 页 共 </w:t>
                          </w:r>
                          <w:r>
                            <w:rPr>
                              <w:rFonts w:hint="eastAsia"/>
                            </w:rPr>
                            <w:t>25</w:t>
                          </w:r>
                          <w:r>
                            <w:t xml:space="preserve"> 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pO5poOAgAABwQAAA4AAABkcnMvZTJvRG9jLnhtbK1TzY7TMBC+I/EO&#10;lu80aRGrqmq6KrsqQqrYlQri7DpOE8l/st0m5QHgDThx4c5z9Tn47CRdBJwQF2cyM/5m5pvPy9tO&#10;SXISzjdGF3Q6ySkRmpuy0YeCfni/eTGnxAemSyaNFgU9C09vV8+fLVu7EDNTG1kKRwCi/aK1Ba1D&#10;sIss87wWivmJsUIjWBmnWMCvO2SlYy3QlcxmeX6TtcaV1hkuvIf3vg/SVcKvKsHDQ1V5EYgsKHoL&#10;6XTp3MczWy3Z4uCYrRs+tMH+oQvFGo2iV6h7Fhg5uuYPKNVwZ7ypwoQblZmqarhIM2Caaf7bNLua&#10;WZFmATneXmny/w+Wvzs9OtKU2B0lmims6PL1y+Xbj8v3z2Qa6WmtXyBrZ5EXutemi6mD38MZp+4q&#10;p+IX8xDEQfT5Sq7oAuHx0nw2n+cIccTGH+BkT9et8+GNMIpEo6AO20ukstPWhz51TInVtNk0UsLP&#10;FlKTtqA3L1/l6cI1AnCpUSMO0TcbrdDtu2GCvSnPGMyZXhne8k2D4lvmwyNzkAIahrzDA45KGhQx&#10;g0VJbdynv/ljPjaEKCUtpFVQDe1TIt9qbC6qcDTcaOxHQx/VnYFWsQ30kkxccEGOZuWM+gjNr2MN&#10;hJjmqFTQMJp3oZc33gwX63VKgtYsC1u9szxCR8a8XR8DCEy8RlJ6JgauoLa0meFlRDn/+p+ynt7v&#10;6id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B3&#10;BAAAW0NvbnRlbnRfVHlwZXNdLnhtbFBLAQIUAAoAAAAAAIdO4kAAAAAAAAAAAAAAAAAGAAAAAAAA&#10;AAAAEAAAAFkDAABfcmVscy9QSwECFAAUAAAACACHTuJAihRmPNEAAACUAQAACwAAAAAAAAABACAA&#10;AAB9AwAAX3JlbHMvLnJlbHNQSwECFAAKAAAAAACHTuJAAAAAAAAAAAAAAAAABAAAAAAAAAAAABAA&#10;AAAAAAAAZHJzL1BLAQIUABQAAAAIAIdO4kCzSVju0AAAAAUBAAAPAAAAAAAAAAEAIAAAACIAAABk&#10;cnMvZG93bnJldi54bWxQSwECFAAUAAAACACHTuJA+k7mmg4CAAAHBAAADgAAAAAAAAABACAAAAAf&#10;AQAAZHJzL2Uyb0RvYy54bWxQSwUGAAAAAAYABgBZAQAAnwUAAAAA&#10;">
              <v:fill on="f" focussize="0,0"/>
              <v:stroke on="f" weight="0.5pt"/>
              <v:imagedata o:title=""/>
              <o:lock v:ext="edit" aspectratio="f"/>
              <v:textbox inset="0mm,0mm,0mm,0mm" style="mso-fit-shape-to-text:t;">
                <w:txbxContent>
                  <w:p>
                    <w:pPr>
                      <w:pStyle w:val="22"/>
                      <w:rPr>
                        <w:rFonts w:hint="eastAsia"/>
                      </w:rPr>
                    </w:pPr>
                    <w:r>
                      <w:t xml:space="preserve">第 </w:t>
                    </w:r>
                    <w:r>
                      <w:fldChar w:fldCharType="begin"/>
                    </w:r>
                    <w:r>
                      <w:instrText xml:space="preserve"> PAGE  \* MERGEFORMAT </w:instrText>
                    </w:r>
                    <w:r>
                      <w:fldChar w:fldCharType="separate"/>
                    </w:r>
                    <w:r>
                      <w:t>29</w:t>
                    </w:r>
                    <w:r>
                      <w:fldChar w:fldCharType="end"/>
                    </w:r>
                    <w:r>
                      <w:t xml:space="preserve"> 页 共 </w:t>
                    </w:r>
                    <w:r>
                      <w:rPr>
                        <w:rFonts w:hint="eastAsia"/>
                      </w:rPr>
                      <w:t>25</w:t>
                    </w:r>
                    <w:r>
                      <w:t xml:space="preserve"> 页</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2"/>
      <w:rPr>
        <w:rFonts w:hint="eastAsia"/>
      </w:rPr>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2"/>
                            <w:rPr>
                              <w:rFonts w:hint="eastAsia"/>
                            </w:rPr>
                          </w:pPr>
                          <w:r>
                            <w:t xml:space="preserve">第 </w:t>
                          </w:r>
                          <w:r>
                            <w:fldChar w:fldCharType="begin"/>
                          </w:r>
                          <w:r>
                            <w:instrText xml:space="preserve"> PAGE  \* MERGEFORMAT </w:instrText>
                          </w:r>
                          <w:r>
                            <w:fldChar w:fldCharType="separate"/>
                          </w:r>
                          <w:r>
                            <w:t>1</w:t>
                          </w:r>
                          <w:r>
                            <w:fldChar w:fldCharType="end"/>
                          </w:r>
                          <w:r>
                            <w:t xml:space="preserve"> 页 共 </w:t>
                          </w:r>
                          <w:r>
                            <w:rPr>
                              <w:rFonts w:hint="eastAsia"/>
                            </w:rPr>
                            <w:t>25</w:t>
                          </w:r>
                          <w:r>
                            <w:t xml:space="preserve"> 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P4ZNkPAgAABwQAAA4AAABkcnMvZTJvRG9jLnhtbK1TzY7TMBC+I/EO&#10;lu80aRGrqmq6KrsqQqrYlQri7DpOE8l/st0m5QHgDThx4c5z9Tn47CRdBJwQF3vsGX8z883n5W2n&#10;JDkJ5xujCzqd5JQIzU3Z6ENBP7zfvJhT4gPTJZNGi4Kehae3q+fPlq1diJmpjSyFIwDRftHagtYh&#10;2EWWeV4LxfzEWKHhrIxTLODoDlnpWAt0JbNZnt9krXGldYYL73F73zvpKuFXleDhoaq8CEQWFLWF&#10;tLq07uOarZZscXDM1g0fymD/UIVijUbSK9Q9C4wcXfMHlGq4M95UYcKNykxVNVykHtDNNP+tm13N&#10;rEi9gBxvrzT5/wfL350eHWnKgs4o0UxhRJevXy7ffly+fyazSE9r/QJRO4u40L02HcY83ntcxq67&#10;yqm4ox8CP4g+X8kVXSA8PprP5vMcLg7feAB+9vTcOh/eCKNINArqML1EKjttfehDx5CYTZtNI2Wa&#10;oNSkLejNy1d5enD1AFxq5IhN9MVGK3T7buhsb8ozGnOmV4a3fNMg+Zb58MgcpICCIe/wgKWSBknM&#10;YFFSG/fpb/cxHhOCl5IW0iqohvYpkW81JhdVOBpuNPajoY/qzkCrU3wby5OJBy7I0aycUR+h+XXM&#10;ARfTHJkKGkbzLvTyxp/hYr1OQdCaZWGrd5ZH6Eiet+tjAIGJ10hKz8TAFdSWJjP8jCjnX88p6un/&#10;rn4C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eAQAAFtDb250ZW50X1R5cGVzXS54bWxQSwECFAAKAAAAAACHTuJAAAAAAAAAAAAAAAAABgAAAAAA&#10;AAAAABAAAABaAwAAX3JlbHMvUEsBAhQAFAAAAAgAh07iQIoUZjzRAAAAlAEAAAsAAAAAAAAAAQAg&#10;AAAAfgMAAF9yZWxzLy5yZWxzUEsBAhQACgAAAAAAh07iQAAAAAAAAAAAAAAAAAQAAAAAAAAAAAAQ&#10;AAAAAAAAAGRycy9QSwECFAAUAAAACACHTuJAs0lY7tAAAAAFAQAADwAAAAAAAAABACAAAAAiAAAA&#10;ZHJzL2Rvd25yZXYueG1sUEsBAhQAFAAAAAgAh07iQHP4ZNkPAgAABwQAAA4AAAAAAAAAAQAgAAAA&#10;HwEAAGRycy9lMm9Eb2MueG1sUEsFBgAAAAAGAAYAWQEAAKAFAAAAAA==&#10;">
              <v:fill on="f" focussize="0,0"/>
              <v:stroke on="f" weight="0.5pt"/>
              <v:imagedata o:title=""/>
              <o:lock v:ext="edit" aspectratio="f"/>
              <v:textbox inset="0mm,0mm,0mm,0mm" style="mso-fit-shape-to-text:t;">
                <w:txbxContent>
                  <w:p>
                    <w:pPr>
                      <w:pStyle w:val="22"/>
                      <w:rPr>
                        <w:rFonts w:hint="eastAsia"/>
                      </w:rPr>
                    </w:pPr>
                    <w:r>
                      <w:t xml:space="preserve">第 </w:t>
                    </w:r>
                    <w:r>
                      <w:fldChar w:fldCharType="begin"/>
                    </w:r>
                    <w:r>
                      <w:instrText xml:space="preserve"> PAGE  \* MERGEFORMAT </w:instrText>
                    </w:r>
                    <w:r>
                      <w:fldChar w:fldCharType="separate"/>
                    </w:r>
                    <w:r>
                      <w:t>1</w:t>
                    </w:r>
                    <w:r>
                      <w:fldChar w:fldCharType="end"/>
                    </w:r>
                    <w:r>
                      <w:t xml:space="preserve"> 页 共 </w:t>
                    </w:r>
                    <w:r>
                      <w:rPr>
                        <w:rFonts w:hint="eastAsia"/>
                      </w:rPr>
                      <w:t>25</w:t>
                    </w:r>
                    <w:r>
                      <w:t xml:space="preserve"> 页</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3"/>
      <w:tabs>
        <w:tab w:val="right" w:pos="8307"/>
        <w:tab w:val="clear" w:pos="8306"/>
      </w:tabs>
      <w:rPr>
        <w:rFonts w:hint="eastAsia"/>
      </w:rPr>
    </w:pPr>
    <w:r>
      <w:drawing>
        <wp:inline distT="0" distB="0" distL="114300" distR="114300">
          <wp:extent cx="1540510" cy="438150"/>
          <wp:effectExtent l="0" t="0" r="0" b="0"/>
          <wp:docPr id="3" name="图片 3" descr="新版医院logo横版透明底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新版医院logo横版透明底 (1)"/>
                  <pic:cNvPicPr>
                    <a:picLocks noChangeAspect="1"/>
                  </pic:cNvPicPr>
                </pic:nvPicPr>
                <pic:blipFill>
                  <a:blip r:embed="rId1"/>
                  <a:stretch>
                    <a:fillRect/>
                  </a:stretch>
                </pic:blipFill>
                <pic:spPr>
                  <a:xfrm>
                    <a:off x="0" y="0"/>
                    <a:ext cx="1540510" cy="438150"/>
                  </a:xfrm>
                  <a:prstGeom prst="rect">
                    <a:avLst/>
                  </a:prstGeom>
                </pic:spPr>
              </pic:pic>
            </a:graphicData>
          </a:graphic>
        </wp:inline>
      </w:drawing>
    </w:r>
    <w:r>
      <w:tab/>
    </w: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357E8B"/>
    <w:multiLevelType w:val="multilevel"/>
    <w:tmpl w:val="05357E8B"/>
    <w:lvl w:ilvl="0" w:tentative="0">
      <w:start w:val="1"/>
      <w:numFmt w:val="bullet"/>
      <w:pStyle w:val="91"/>
      <w:lvlText w:val=""/>
      <w:lvlJc w:val="left"/>
      <w:pPr>
        <w:ind w:left="420" w:hanging="420"/>
      </w:pPr>
      <w:rPr>
        <w:rFonts w:hint="default" w:ascii="Wingdings" w:hAnsi="Wingdings"/>
      </w:rPr>
    </w:lvl>
    <w:lvl w:ilvl="1" w:tentative="0">
      <w:start w:val="1"/>
      <w:numFmt w:val="bullet"/>
      <w:pStyle w:val="93"/>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1">
    <w:nsid w:val="2F284CC0"/>
    <w:multiLevelType w:val="multilevel"/>
    <w:tmpl w:val="2F284CC0"/>
    <w:lvl w:ilvl="0" w:tentative="0">
      <w:start w:val="1"/>
      <w:numFmt w:val="bullet"/>
      <w:lvlText w:val=""/>
      <w:lvlJc w:val="left"/>
      <w:pPr>
        <w:ind w:left="440" w:hanging="440"/>
      </w:pPr>
      <w:rPr>
        <w:rFonts w:hint="default" w:ascii="Wingdings" w:hAnsi="Wingdings"/>
      </w:rPr>
    </w:lvl>
    <w:lvl w:ilvl="1" w:tentative="0">
      <w:start w:val="1"/>
      <w:numFmt w:val="bullet"/>
      <w:lvlText w:val=""/>
      <w:lvlJc w:val="left"/>
      <w:pPr>
        <w:ind w:left="880" w:hanging="440"/>
      </w:pPr>
      <w:rPr>
        <w:rFonts w:hint="default" w:ascii="Wingdings" w:hAnsi="Wingdings"/>
      </w:rPr>
    </w:lvl>
    <w:lvl w:ilvl="2" w:tentative="0">
      <w:start w:val="1"/>
      <w:numFmt w:val="bullet"/>
      <w:lvlText w:val=""/>
      <w:lvlJc w:val="left"/>
      <w:pPr>
        <w:ind w:left="1320" w:hanging="440"/>
      </w:pPr>
      <w:rPr>
        <w:rFonts w:hint="default" w:ascii="Wingdings" w:hAnsi="Wingdings"/>
      </w:rPr>
    </w:lvl>
    <w:lvl w:ilvl="3" w:tentative="0">
      <w:start w:val="1"/>
      <w:numFmt w:val="bullet"/>
      <w:lvlText w:val=""/>
      <w:lvlJc w:val="left"/>
      <w:pPr>
        <w:ind w:left="1760" w:hanging="440"/>
      </w:pPr>
      <w:rPr>
        <w:rFonts w:hint="default" w:ascii="Wingdings" w:hAnsi="Wingdings"/>
      </w:rPr>
    </w:lvl>
    <w:lvl w:ilvl="4" w:tentative="0">
      <w:start w:val="1"/>
      <w:numFmt w:val="bullet"/>
      <w:lvlText w:val=""/>
      <w:lvlJc w:val="left"/>
      <w:pPr>
        <w:ind w:left="2200" w:hanging="440"/>
      </w:pPr>
      <w:rPr>
        <w:rFonts w:hint="default" w:ascii="Wingdings" w:hAnsi="Wingdings"/>
      </w:rPr>
    </w:lvl>
    <w:lvl w:ilvl="5" w:tentative="0">
      <w:start w:val="1"/>
      <w:numFmt w:val="bullet"/>
      <w:lvlText w:val=""/>
      <w:lvlJc w:val="left"/>
      <w:pPr>
        <w:ind w:left="2640" w:hanging="440"/>
      </w:pPr>
      <w:rPr>
        <w:rFonts w:hint="default" w:ascii="Wingdings" w:hAnsi="Wingdings"/>
      </w:rPr>
    </w:lvl>
    <w:lvl w:ilvl="6" w:tentative="0">
      <w:start w:val="1"/>
      <w:numFmt w:val="bullet"/>
      <w:lvlText w:val=""/>
      <w:lvlJc w:val="left"/>
      <w:pPr>
        <w:ind w:left="3080" w:hanging="440"/>
      </w:pPr>
      <w:rPr>
        <w:rFonts w:hint="default" w:ascii="Wingdings" w:hAnsi="Wingdings"/>
      </w:rPr>
    </w:lvl>
    <w:lvl w:ilvl="7" w:tentative="0">
      <w:start w:val="1"/>
      <w:numFmt w:val="bullet"/>
      <w:lvlText w:val=""/>
      <w:lvlJc w:val="left"/>
      <w:pPr>
        <w:ind w:left="3520" w:hanging="440"/>
      </w:pPr>
      <w:rPr>
        <w:rFonts w:hint="default" w:ascii="Wingdings" w:hAnsi="Wingdings"/>
      </w:rPr>
    </w:lvl>
    <w:lvl w:ilvl="8" w:tentative="0">
      <w:start w:val="1"/>
      <w:numFmt w:val="bullet"/>
      <w:lvlText w:val=""/>
      <w:lvlJc w:val="left"/>
      <w:pPr>
        <w:ind w:left="3960" w:hanging="440"/>
      </w:pPr>
      <w:rPr>
        <w:rFonts w:hint="default" w:ascii="Wingdings" w:hAnsi="Wingdings"/>
      </w:rPr>
    </w:lvl>
  </w:abstractNum>
  <w:abstractNum w:abstractNumId="2">
    <w:nsid w:val="304C07C9"/>
    <w:multiLevelType w:val="multilevel"/>
    <w:tmpl w:val="304C07C9"/>
    <w:lvl w:ilvl="0" w:tentative="0">
      <w:start w:val="1"/>
      <w:numFmt w:val="decimal"/>
      <w:pStyle w:val="2"/>
      <w:lvlText w:val="%1"/>
      <w:lvlJc w:val="left"/>
      <w:pPr>
        <w:ind w:left="999" w:hanging="432"/>
      </w:pPr>
      <w:rPr>
        <w:rFonts w:hint="eastAsia"/>
      </w:rPr>
    </w:lvl>
    <w:lvl w:ilvl="1" w:tentative="0">
      <w:start w:val="1"/>
      <w:numFmt w:val="decimal"/>
      <w:pStyle w:val="3"/>
      <w:lvlText w:val="%1.%2"/>
      <w:lvlJc w:val="left"/>
      <w:pPr>
        <w:ind w:left="576" w:hanging="576"/>
      </w:pPr>
    </w:lvl>
    <w:lvl w:ilvl="2" w:tentative="0">
      <w:start w:val="1"/>
      <w:numFmt w:val="decimal"/>
      <w:pStyle w:val="4"/>
      <w:lvlText w:val="%1.%2.%3"/>
      <w:lvlJc w:val="left"/>
      <w:pPr>
        <w:ind w:left="720" w:hanging="720"/>
      </w:pPr>
    </w:lvl>
    <w:lvl w:ilvl="3" w:tentative="0">
      <w:start w:val="1"/>
      <w:numFmt w:val="decimal"/>
      <w:pStyle w:val="5"/>
      <w:lvlText w:val="%1.%2.%3.%4"/>
      <w:lvlJc w:val="left"/>
      <w:pPr>
        <w:ind w:left="864" w:hanging="864"/>
      </w:pPr>
    </w:lvl>
    <w:lvl w:ilvl="4" w:tentative="0">
      <w:start w:val="1"/>
      <w:numFmt w:val="decimal"/>
      <w:pStyle w:val="6"/>
      <w:lvlText w:val="%1.%2.%3.%4.%5"/>
      <w:lvlJc w:val="left"/>
      <w:pPr>
        <w:ind w:left="1008" w:hanging="1008"/>
      </w:pPr>
    </w:lvl>
    <w:lvl w:ilvl="5" w:tentative="0">
      <w:start w:val="1"/>
      <w:numFmt w:val="decimal"/>
      <w:pStyle w:val="7"/>
      <w:lvlText w:val="%1.%2.%3.%4.%5.%6"/>
      <w:lvlJc w:val="left"/>
      <w:pPr>
        <w:ind w:left="1152" w:hanging="1152"/>
      </w:pPr>
    </w:lvl>
    <w:lvl w:ilvl="6" w:tentative="0">
      <w:start w:val="1"/>
      <w:numFmt w:val="decimal"/>
      <w:pStyle w:val="8"/>
      <w:lvlText w:val="%1.%2.%3.%4.%5.%6.%7"/>
      <w:lvlJc w:val="left"/>
      <w:pPr>
        <w:ind w:left="1296" w:hanging="1296"/>
      </w:pPr>
    </w:lvl>
    <w:lvl w:ilvl="7" w:tentative="0">
      <w:start w:val="1"/>
      <w:numFmt w:val="decimal"/>
      <w:pStyle w:val="9"/>
      <w:lvlText w:val="%1.%2.%3.%4.%5.%6.%7.%8"/>
      <w:lvlJc w:val="left"/>
      <w:pPr>
        <w:ind w:left="1440" w:hanging="1440"/>
      </w:pPr>
    </w:lvl>
    <w:lvl w:ilvl="8" w:tentative="0">
      <w:start w:val="1"/>
      <w:numFmt w:val="decimal"/>
      <w:pStyle w:val="10"/>
      <w:lvlText w:val="%1.%2.%3.%4.%5.%6.%7.%8.%9"/>
      <w:lvlJc w:val="left"/>
      <w:pPr>
        <w:ind w:left="1584" w:hanging="1584"/>
      </w:pPr>
    </w:lvl>
  </w:abstractNum>
  <w:abstractNum w:abstractNumId="3">
    <w:nsid w:val="58EA54A3"/>
    <w:multiLevelType w:val="multilevel"/>
    <w:tmpl w:val="58EA54A3"/>
    <w:lvl w:ilvl="0" w:tentative="0">
      <w:start w:val="1"/>
      <w:numFmt w:val="decimal"/>
      <w:lvlText w:val="%1."/>
      <w:lvlJc w:val="left"/>
      <w:pPr>
        <w:ind w:left="420" w:hanging="420"/>
      </w:pPr>
    </w:lvl>
    <w:lvl w:ilvl="1" w:tentative="0">
      <w:start w:val="1"/>
      <w:numFmt w:val="decimal"/>
      <w:lvlText w:val="%2."/>
      <w:lvlJc w:val="left"/>
      <w:pPr>
        <w:ind w:left="840" w:hanging="420"/>
      </w:pPr>
      <w:rPr>
        <w:rFonts w:ascii="宋体" w:hAnsi="宋体" w:eastAsia="宋体"/>
      </w:r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4">
    <w:nsid w:val="5E0F384C"/>
    <w:multiLevelType w:val="multilevel"/>
    <w:tmpl w:val="5E0F384C"/>
    <w:lvl w:ilvl="0" w:tentative="0">
      <w:start w:val="1"/>
      <w:numFmt w:val="decimal"/>
      <w:lvlText w:val="%1."/>
      <w:lvlJc w:val="left"/>
      <w:pPr>
        <w:ind w:left="832" w:hanging="420"/>
      </w:pPr>
    </w:lvl>
    <w:lvl w:ilvl="1" w:tentative="0">
      <w:start w:val="1"/>
      <w:numFmt w:val="lowerLetter"/>
      <w:lvlText w:val="%2)"/>
      <w:lvlJc w:val="left"/>
      <w:pPr>
        <w:ind w:left="1252" w:hanging="420"/>
      </w:pPr>
    </w:lvl>
    <w:lvl w:ilvl="2" w:tentative="0">
      <w:start w:val="1"/>
      <w:numFmt w:val="lowerRoman"/>
      <w:lvlText w:val="%3."/>
      <w:lvlJc w:val="right"/>
      <w:pPr>
        <w:ind w:left="1672" w:hanging="420"/>
      </w:pPr>
    </w:lvl>
    <w:lvl w:ilvl="3" w:tentative="0">
      <w:start w:val="1"/>
      <w:numFmt w:val="decimal"/>
      <w:lvlText w:val="%4."/>
      <w:lvlJc w:val="left"/>
      <w:pPr>
        <w:ind w:left="2092" w:hanging="420"/>
      </w:pPr>
    </w:lvl>
    <w:lvl w:ilvl="4" w:tentative="0">
      <w:start w:val="1"/>
      <w:numFmt w:val="lowerLetter"/>
      <w:lvlText w:val="%5)"/>
      <w:lvlJc w:val="left"/>
      <w:pPr>
        <w:ind w:left="2512" w:hanging="420"/>
      </w:pPr>
    </w:lvl>
    <w:lvl w:ilvl="5" w:tentative="0">
      <w:start w:val="1"/>
      <w:numFmt w:val="lowerRoman"/>
      <w:lvlText w:val="%6."/>
      <w:lvlJc w:val="right"/>
      <w:pPr>
        <w:ind w:left="2932" w:hanging="420"/>
      </w:pPr>
    </w:lvl>
    <w:lvl w:ilvl="6" w:tentative="0">
      <w:start w:val="1"/>
      <w:numFmt w:val="decimal"/>
      <w:lvlText w:val="%7."/>
      <w:lvlJc w:val="left"/>
      <w:pPr>
        <w:ind w:left="3352" w:hanging="420"/>
      </w:pPr>
    </w:lvl>
    <w:lvl w:ilvl="7" w:tentative="0">
      <w:start w:val="1"/>
      <w:numFmt w:val="lowerLetter"/>
      <w:lvlText w:val="%8)"/>
      <w:lvlJc w:val="left"/>
      <w:pPr>
        <w:ind w:left="3772" w:hanging="420"/>
      </w:pPr>
    </w:lvl>
    <w:lvl w:ilvl="8" w:tentative="0">
      <w:start w:val="1"/>
      <w:numFmt w:val="lowerRoman"/>
      <w:lvlText w:val="%9."/>
      <w:lvlJc w:val="right"/>
      <w:pPr>
        <w:ind w:left="4192" w:hanging="420"/>
      </w:pPr>
    </w:lvl>
  </w:abstractNum>
  <w:num w:numId="1">
    <w:abstractNumId w:val="2"/>
  </w:num>
  <w:num w:numId="2">
    <w:abstractNumId w:val="0"/>
  </w:num>
  <w:num w:numId="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
  </w:num>
  <w:num w:numId="5">
    <w:abstractNumId w:val="4"/>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0"/>
  <w:bordersDoNotSurroundFooter w:val="0"/>
  <w:attachedTemplate r:id="rId1"/>
  <w:documentProtection w:edit="trackedChanges" w:enforcement="0"/>
  <w:defaultTabStop w:val="420"/>
  <w:drawingGridHorizontalSpacing w:val="11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TgwYTQ4YjQ3OTAzN2NmZmRkYjM5NmRhOWZmMzNkMDEifQ=="/>
  </w:docVars>
  <w:rsids>
    <w:rsidRoot w:val="00B44CAB"/>
    <w:rsid w:val="000003FC"/>
    <w:rsid w:val="000004CC"/>
    <w:rsid w:val="000012FE"/>
    <w:rsid w:val="00001E4F"/>
    <w:rsid w:val="00001F7B"/>
    <w:rsid w:val="0000359B"/>
    <w:rsid w:val="00003E88"/>
    <w:rsid w:val="0000407E"/>
    <w:rsid w:val="00004A43"/>
    <w:rsid w:val="00005B00"/>
    <w:rsid w:val="000069D2"/>
    <w:rsid w:val="00006BA2"/>
    <w:rsid w:val="00006F9B"/>
    <w:rsid w:val="000075AF"/>
    <w:rsid w:val="00012991"/>
    <w:rsid w:val="00013010"/>
    <w:rsid w:val="0001313F"/>
    <w:rsid w:val="0001360E"/>
    <w:rsid w:val="000154D4"/>
    <w:rsid w:val="00015FC5"/>
    <w:rsid w:val="00016096"/>
    <w:rsid w:val="00017A2E"/>
    <w:rsid w:val="00017A4B"/>
    <w:rsid w:val="0002086A"/>
    <w:rsid w:val="0002107B"/>
    <w:rsid w:val="00021583"/>
    <w:rsid w:val="00022457"/>
    <w:rsid w:val="00022ACB"/>
    <w:rsid w:val="00022EB3"/>
    <w:rsid w:val="00024137"/>
    <w:rsid w:val="00024C3E"/>
    <w:rsid w:val="00025845"/>
    <w:rsid w:val="00025BDF"/>
    <w:rsid w:val="00026DBB"/>
    <w:rsid w:val="00026ECC"/>
    <w:rsid w:val="000276A7"/>
    <w:rsid w:val="00027FF3"/>
    <w:rsid w:val="000316C7"/>
    <w:rsid w:val="00031AEE"/>
    <w:rsid w:val="00032109"/>
    <w:rsid w:val="0003246F"/>
    <w:rsid w:val="00032F27"/>
    <w:rsid w:val="00034C66"/>
    <w:rsid w:val="0003521A"/>
    <w:rsid w:val="0003565D"/>
    <w:rsid w:val="0003663D"/>
    <w:rsid w:val="00040992"/>
    <w:rsid w:val="00041976"/>
    <w:rsid w:val="00041A3D"/>
    <w:rsid w:val="0004243F"/>
    <w:rsid w:val="00042592"/>
    <w:rsid w:val="00044521"/>
    <w:rsid w:val="00044601"/>
    <w:rsid w:val="00044846"/>
    <w:rsid w:val="000448FA"/>
    <w:rsid w:val="00044A92"/>
    <w:rsid w:val="00044AEF"/>
    <w:rsid w:val="00045397"/>
    <w:rsid w:val="00046B70"/>
    <w:rsid w:val="00046F5B"/>
    <w:rsid w:val="0004730F"/>
    <w:rsid w:val="00050E6B"/>
    <w:rsid w:val="00052A3D"/>
    <w:rsid w:val="00053964"/>
    <w:rsid w:val="000539FC"/>
    <w:rsid w:val="00055673"/>
    <w:rsid w:val="00055A2A"/>
    <w:rsid w:val="00055BC0"/>
    <w:rsid w:val="0005660A"/>
    <w:rsid w:val="000608C9"/>
    <w:rsid w:val="00060C33"/>
    <w:rsid w:val="0006102C"/>
    <w:rsid w:val="000611AB"/>
    <w:rsid w:val="00062679"/>
    <w:rsid w:val="00063323"/>
    <w:rsid w:val="00063472"/>
    <w:rsid w:val="000646DF"/>
    <w:rsid w:val="00064BD6"/>
    <w:rsid w:val="000651BB"/>
    <w:rsid w:val="00066276"/>
    <w:rsid w:val="00066350"/>
    <w:rsid w:val="00066389"/>
    <w:rsid w:val="0006700C"/>
    <w:rsid w:val="0007016F"/>
    <w:rsid w:val="0007234C"/>
    <w:rsid w:val="00072B05"/>
    <w:rsid w:val="000741B5"/>
    <w:rsid w:val="000744C3"/>
    <w:rsid w:val="000747D9"/>
    <w:rsid w:val="0007621E"/>
    <w:rsid w:val="000762AC"/>
    <w:rsid w:val="000768E5"/>
    <w:rsid w:val="00077D5B"/>
    <w:rsid w:val="00077F13"/>
    <w:rsid w:val="00080E96"/>
    <w:rsid w:val="00080F8A"/>
    <w:rsid w:val="00081A98"/>
    <w:rsid w:val="00082E88"/>
    <w:rsid w:val="00083BF5"/>
    <w:rsid w:val="00083FA6"/>
    <w:rsid w:val="000864F9"/>
    <w:rsid w:val="000872A5"/>
    <w:rsid w:val="000874F2"/>
    <w:rsid w:val="0008750A"/>
    <w:rsid w:val="00087539"/>
    <w:rsid w:val="0008790C"/>
    <w:rsid w:val="000900C2"/>
    <w:rsid w:val="00090B0C"/>
    <w:rsid w:val="00092142"/>
    <w:rsid w:val="00092A31"/>
    <w:rsid w:val="00092B5C"/>
    <w:rsid w:val="000931BF"/>
    <w:rsid w:val="000932C3"/>
    <w:rsid w:val="00093677"/>
    <w:rsid w:val="00093819"/>
    <w:rsid w:val="00095B29"/>
    <w:rsid w:val="00095C3D"/>
    <w:rsid w:val="0009667B"/>
    <w:rsid w:val="00096E78"/>
    <w:rsid w:val="0009701C"/>
    <w:rsid w:val="000970BB"/>
    <w:rsid w:val="00097369"/>
    <w:rsid w:val="000A0874"/>
    <w:rsid w:val="000A1B8D"/>
    <w:rsid w:val="000A1BBE"/>
    <w:rsid w:val="000A2DFF"/>
    <w:rsid w:val="000A3547"/>
    <w:rsid w:val="000A4ACB"/>
    <w:rsid w:val="000A4F6C"/>
    <w:rsid w:val="000A5532"/>
    <w:rsid w:val="000A6FAE"/>
    <w:rsid w:val="000A7B48"/>
    <w:rsid w:val="000B10BE"/>
    <w:rsid w:val="000B220E"/>
    <w:rsid w:val="000B25BB"/>
    <w:rsid w:val="000B2C81"/>
    <w:rsid w:val="000B2ED1"/>
    <w:rsid w:val="000B5C8A"/>
    <w:rsid w:val="000B7466"/>
    <w:rsid w:val="000B74F7"/>
    <w:rsid w:val="000C00D5"/>
    <w:rsid w:val="000C082C"/>
    <w:rsid w:val="000C2070"/>
    <w:rsid w:val="000C26E4"/>
    <w:rsid w:val="000C335D"/>
    <w:rsid w:val="000C33FF"/>
    <w:rsid w:val="000C3AC9"/>
    <w:rsid w:val="000C522C"/>
    <w:rsid w:val="000C605D"/>
    <w:rsid w:val="000C657B"/>
    <w:rsid w:val="000C6EE6"/>
    <w:rsid w:val="000D1A6F"/>
    <w:rsid w:val="000D2220"/>
    <w:rsid w:val="000D29FC"/>
    <w:rsid w:val="000D3821"/>
    <w:rsid w:val="000D4262"/>
    <w:rsid w:val="000D49BD"/>
    <w:rsid w:val="000D5862"/>
    <w:rsid w:val="000D5FD6"/>
    <w:rsid w:val="000D6850"/>
    <w:rsid w:val="000D7C82"/>
    <w:rsid w:val="000E0630"/>
    <w:rsid w:val="000E3C14"/>
    <w:rsid w:val="000E55D5"/>
    <w:rsid w:val="000E5B71"/>
    <w:rsid w:val="000E60A7"/>
    <w:rsid w:val="000E78C1"/>
    <w:rsid w:val="000E7CCA"/>
    <w:rsid w:val="000F023B"/>
    <w:rsid w:val="000F02C1"/>
    <w:rsid w:val="000F11A0"/>
    <w:rsid w:val="000F2DC9"/>
    <w:rsid w:val="000F39C5"/>
    <w:rsid w:val="000F3AEE"/>
    <w:rsid w:val="000F4211"/>
    <w:rsid w:val="000F465B"/>
    <w:rsid w:val="000F47C5"/>
    <w:rsid w:val="000F6241"/>
    <w:rsid w:val="000F7661"/>
    <w:rsid w:val="000F7736"/>
    <w:rsid w:val="00100010"/>
    <w:rsid w:val="00100808"/>
    <w:rsid w:val="00101243"/>
    <w:rsid w:val="00102017"/>
    <w:rsid w:val="001022C2"/>
    <w:rsid w:val="00102C20"/>
    <w:rsid w:val="00102EBD"/>
    <w:rsid w:val="00103C79"/>
    <w:rsid w:val="0010414B"/>
    <w:rsid w:val="0010527A"/>
    <w:rsid w:val="00106365"/>
    <w:rsid w:val="00107757"/>
    <w:rsid w:val="00107BA4"/>
    <w:rsid w:val="00110839"/>
    <w:rsid w:val="00110D54"/>
    <w:rsid w:val="0011339C"/>
    <w:rsid w:val="0011441F"/>
    <w:rsid w:val="00116FBF"/>
    <w:rsid w:val="0011734D"/>
    <w:rsid w:val="0011786B"/>
    <w:rsid w:val="00117BBA"/>
    <w:rsid w:val="00117E33"/>
    <w:rsid w:val="0012000B"/>
    <w:rsid w:val="00120680"/>
    <w:rsid w:val="0012179C"/>
    <w:rsid w:val="00122B09"/>
    <w:rsid w:val="00122F8C"/>
    <w:rsid w:val="00123BF7"/>
    <w:rsid w:val="0012465B"/>
    <w:rsid w:val="00124CF4"/>
    <w:rsid w:val="00124D7C"/>
    <w:rsid w:val="00124F2E"/>
    <w:rsid w:val="0012619C"/>
    <w:rsid w:val="0012679E"/>
    <w:rsid w:val="001269F6"/>
    <w:rsid w:val="00127435"/>
    <w:rsid w:val="00130EB0"/>
    <w:rsid w:val="00131A3D"/>
    <w:rsid w:val="00132D8B"/>
    <w:rsid w:val="00132E88"/>
    <w:rsid w:val="001334DC"/>
    <w:rsid w:val="001335DB"/>
    <w:rsid w:val="00134A90"/>
    <w:rsid w:val="00135579"/>
    <w:rsid w:val="001368DC"/>
    <w:rsid w:val="00140F3C"/>
    <w:rsid w:val="0014133E"/>
    <w:rsid w:val="00142A1F"/>
    <w:rsid w:val="00142BCC"/>
    <w:rsid w:val="00142DCD"/>
    <w:rsid w:val="0014355E"/>
    <w:rsid w:val="00143CA8"/>
    <w:rsid w:val="0014400B"/>
    <w:rsid w:val="00144038"/>
    <w:rsid w:val="00144465"/>
    <w:rsid w:val="001449B3"/>
    <w:rsid w:val="00144E1C"/>
    <w:rsid w:val="00146021"/>
    <w:rsid w:val="00146BEF"/>
    <w:rsid w:val="0015003E"/>
    <w:rsid w:val="00150B12"/>
    <w:rsid w:val="001513BF"/>
    <w:rsid w:val="0015211D"/>
    <w:rsid w:val="00152178"/>
    <w:rsid w:val="001528CA"/>
    <w:rsid w:val="00152DD2"/>
    <w:rsid w:val="00152E42"/>
    <w:rsid w:val="00157F33"/>
    <w:rsid w:val="00160331"/>
    <w:rsid w:val="00160339"/>
    <w:rsid w:val="001604DD"/>
    <w:rsid w:val="00160DF4"/>
    <w:rsid w:val="0016136B"/>
    <w:rsid w:val="001616DF"/>
    <w:rsid w:val="00161C8A"/>
    <w:rsid w:val="00162370"/>
    <w:rsid w:val="00162634"/>
    <w:rsid w:val="0016332F"/>
    <w:rsid w:val="00164A78"/>
    <w:rsid w:val="00164A9C"/>
    <w:rsid w:val="00164D17"/>
    <w:rsid w:val="00164E5D"/>
    <w:rsid w:val="0016618D"/>
    <w:rsid w:val="00166497"/>
    <w:rsid w:val="00166A3A"/>
    <w:rsid w:val="00167451"/>
    <w:rsid w:val="00167D30"/>
    <w:rsid w:val="00170016"/>
    <w:rsid w:val="001709FC"/>
    <w:rsid w:val="00170BF3"/>
    <w:rsid w:val="00171454"/>
    <w:rsid w:val="00171573"/>
    <w:rsid w:val="00171EF4"/>
    <w:rsid w:val="0017387D"/>
    <w:rsid w:val="00173B13"/>
    <w:rsid w:val="00175391"/>
    <w:rsid w:val="001755A6"/>
    <w:rsid w:val="00176FA0"/>
    <w:rsid w:val="001770FE"/>
    <w:rsid w:val="0017751A"/>
    <w:rsid w:val="00177604"/>
    <w:rsid w:val="00181C37"/>
    <w:rsid w:val="00181F75"/>
    <w:rsid w:val="001825C6"/>
    <w:rsid w:val="00183477"/>
    <w:rsid w:val="00184099"/>
    <w:rsid w:val="0018429D"/>
    <w:rsid w:val="0018492D"/>
    <w:rsid w:val="001862A7"/>
    <w:rsid w:val="00186B4F"/>
    <w:rsid w:val="00186C42"/>
    <w:rsid w:val="00186FAE"/>
    <w:rsid w:val="00187739"/>
    <w:rsid w:val="00187E34"/>
    <w:rsid w:val="00190483"/>
    <w:rsid w:val="00190531"/>
    <w:rsid w:val="00190A92"/>
    <w:rsid w:val="00192184"/>
    <w:rsid w:val="001928AF"/>
    <w:rsid w:val="00193BD9"/>
    <w:rsid w:val="00194E2D"/>
    <w:rsid w:val="001950B4"/>
    <w:rsid w:val="001951AC"/>
    <w:rsid w:val="00195328"/>
    <w:rsid w:val="00196CBA"/>
    <w:rsid w:val="00197FFE"/>
    <w:rsid w:val="001A03FD"/>
    <w:rsid w:val="001A04A7"/>
    <w:rsid w:val="001A1D79"/>
    <w:rsid w:val="001A45D6"/>
    <w:rsid w:val="001A47DB"/>
    <w:rsid w:val="001A4CA7"/>
    <w:rsid w:val="001A6C93"/>
    <w:rsid w:val="001A7F14"/>
    <w:rsid w:val="001B0E98"/>
    <w:rsid w:val="001B251C"/>
    <w:rsid w:val="001B27E3"/>
    <w:rsid w:val="001B2E2E"/>
    <w:rsid w:val="001B2E6E"/>
    <w:rsid w:val="001B2E73"/>
    <w:rsid w:val="001B2F4D"/>
    <w:rsid w:val="001B394F"/>
    <w:rsid w:val="001B5CF4"/>
    <w:rsid w:val="001B5E80"/>
    <w:rsid w:val="001B6713"/>
    <w:rsid w:val="001C0293"/>
    <w:rsid w:val="001C069D"/>
    <w:rsid w:val="001C1086"/>
    <w:rsid w:val="001C189C"/>
    <w:rsid w:val="001C1BCD"/>
    <w:rsid w:val="001C24AC"/>
    <w:rsid w:val="001C24F4"/>
    <w:rsid w:val="001C3150"/>
    <w:rsid w:val="001C39FE"/>
    <w:rsid w:val="001C4008"/>
    <w:rsid w:val="001C402F"/>
    <w:rsid w:val="001C4EE8"/>
    <w:rsid w:val="001C51B7"/>
    <w:rsid w:val="001C5365"/>
    <w:rsid w:val="001C6168"/>
    <w:rsid w:val="001C66E9"/>
    <w:rsid w:val="001C7637"/>
    <w:rsid w:val="001C7CE1"/>
    <w:rsid w:val="001C7D66"/>
    <w:rsid w:val="001D1A08"/>
    <w:rsid w:val="001D4CE0"/>
    <w:rsid w:val="001D5CDA"/>
    <w:rsid w:val="001D5E35"/>
    <w:rsid w:val="001D6BF8"/>
    <w:rsid w:val="001D7744"/>
    <w:rsid w:val="001D79B9"/>
    <w:rsid w:val="001E021B"/>
    <w:rsid w:val="001E074A"/>
    <w:rsid w:val="001E0B75"/>
    <w:rsid w:val="001E2D07"/>
    <w:rsid w:val="001E43D6"/>
    <w:rsid w:val="001E531C"/>
    <w:rsid w:val="001E5A28"/>
    <w:rsid w:val="001E5BCD"/>
    <w:rsid w:val="001E6EE0"/>
    <w:rsid w:val="001E7EB8"/>
    <w:rsid w:val="001F0353"/>
    <w:rsid w:val="001F0C5F"/>
    <w:rsid w:val="001F12AF"/>
    <w:rsid w:val="001F177F"/>
    <w:rsid w:val="001F1FF6"/>
    <w:rsid w:val="001F4554"/>
    <w:rsid w:val="001F468A"/>
    <w:rsid w:val="001F5C30"/>
    <w:rsid w:val="001F625A"/>
    <w:rsid w:val="001F6933"/>
    <w:rsid w:val="001F6EFA"/>
    <w:rsid w:val="001F7351"/>
    <w:rsid w:val="00200E19"/>
    <w:rsid w:val="0020218B"/>
    <w:rsid w:val="002021F6"/>
    <w:rsid w:val="0020281B"/>
    <w:rsid w:val="00202D93"/>
    <w:rsid w:val="0020316A"/>
    <w:rsid w:val="0020411D"/>
    <w:rsid w:val="0020475C"/>
    <w:rsid w:val="002048C3"/>
    <w:rsid w:val="002049E7"/>
    <w:rsid w:val="00204B2C"/>
    <w:rsid w:val="00205A36"/>
    <w:rsid w:val="00206A74"/>
    <w:rsid w:val="00206A85"/>
    <w:rsid w:val="00206AB1"/>
    <w:rsid w:val="00212290"/>
    <w:rsid w:val="00212542"/>
    <w:rsid w:val="0021333C"/>
    <w:rsid w:val="00213D77"/>
    <w:rsid w:val="0021493E"/>
    <w:rsid w:val="00215887"/>
    <w:rsid w:val="00215905"/>
    <w:rsid w:val="0021740C"/>
    <w:rsid w:val="002174C7"/>
    <w:rsid w:val="00217870"/>
    <w:rsid w:val="00221D1B"/>
    <w:rsid w:val="00221E1A"/>
    <w:rsid w:val="002225D9"/>
    <w:rsid w:val="00222797"/>
    <w:rsid w:val="002246DB"/>
    <w:rsid w:val="00224987"/>
    <w:rsid w:val="00224DBC"/>
    <w:rsid w:val="002251F3"/>
    <w:rsid w:val="0022520A"/>
    <w:rsid w:val="0022600B"/>
    <w:rsid w:val="002260A7"/>
    <w:rsid w:val="002261F0"/>
    <w:rsid w:val="002269F1"/>
    <w:rsid w:val="00226F42"/>
    <w:rsid w:val="002277EE"/>
    <w:rsid w:val="00227890"/>
    <w:rsid w:val="00230C4C"/>
    <w:rsid w:val="00231B47"/>
    <w:rsid w:val="00231EBE"/>
    <w:rsid w:val="002322F3"/>
    <w:rsid w:val="00233506"/>
    <w:rsid w:val="00234E71"/>
    <w:rsid w:val="00235FFC"/>
    <w:rsid w:val="002363AD"/>
    <w:rsid w:val="00236408"/>
    <w:rsid w:val="00236780"/>
    <w:rsid w:val="002373BD"/>
    <w:rsid w:val="00237B09"/>
    <w:rsid w:val="00237B38"/>
    <w:rsid w:val="00240CF9"/>
    <w:rsid w:val="002433BD"/>
    <w:rsid w:val="00243805"/>
    <w:rsid w:val="00243B1F"/>
    <w:rsid w:val="00244AA3"/>
    <w:rsid w:val="00244E6D"/>
    <w:rsid w:val="00244FD2"/>
    <w:rsid w:val="00245273"/>
    <w:rsid w:val="00245383"/>
    <w:rsid w:val="00247288"/>
    <w:rsid w:val="002503EB"/>
    <w:rsid w:val="00250A8B"/>
    <w:rsid w:val="00251CBA"/>
    <w:rsid w:val="00251ED2"/>
    <w:rsid w:val="002521FF"/>
    <w:rsid w:val="00252A4A"/>
    <w:rsid w:val="00252C99"/>
    <w:rsid w:val="00253C1A"/>
    <w:rsid w:val="00254036"/>
    <w:rsid w:val="002556DC"/>
    <w:rsid w:val="002557C1"/>
    <w:rsid w:val="00255D65"/>
    <w:rsid w:val="00255EB0"/>
    <w:rsid w:val="00256746"/>
    <w:rsid w:val="002567EE"/>
    <w:rsid w:val="002568B4"/>
    <w:rsid w:val="00256950"/>
    <w:rsid w:val="00256BD8"/>
    <w:rsid w:val="00256F95"/>
    <w:rsid w:val="0026263C"/>
    <w:rsid w:val="002635F0"/>
    <w:rsid w:val="00263F68"/>
    <w:rsid w:val="00264685"/>
    <w:rsid w:val="00265724"/>
    <w:rsid w:val="00266C43"/>
    <w:rsid w:val="00266E35"/>
    <w:rsid w:val="002674D9"/>
    <w:rsid w:val="00267770"/>
    <w:rsid w:val="00270C9B"/>
    <w:rsid w:val="00270CFA"/>
    <w:rsid w:val="002717EF"/>
    <w:rsid w:val="002719B0"/>
    <w:rsid w:val="00271F13"/>
    <w:rsid w:val="00272AB8"/>
    <w:rsid w:val="00274008"/>
    <w:rsid w:val="002744D6"/>
    <w:rsid w:val="0027450F"/>
    <w:rsid w:val="00274513"/>
    <w:rsid w:val="002751C0"/>
    <w:rsid w:val="00275893"/>
    <w:rsid w:val="00276F35"/>
    <w:rsid w:val="002776FB"/>
    <w:rsid w:val="00280375"/>
    <w:rsid w:val="00280628"/>
    <w:rsid w:val="00280B55"/>
    <w:rsid w:val="00280C3C"/>
    <w:rsid w:val="00281F07"/>
    <w:rsid w:val="00282945"/>
    <w:rsid w:val="0028616F"/>
    <w:rsid w:val="002864B3"/>
    <w:rsid w:val="00286B84"/>
    <w:rsid w:val="002900DB"/>
    <w:rsid w:val="00290267"/>
    <w:rsid w:val="002908E1"/>
    <w:rsid w:val="00291413"/>
    <w:rsid w:val="0029232B"/>
    <w:rsid w:val="0029282F"/>
    <w:rsid w:val="002939AB"/>
    <w:rsid w:val="00294407"/>
    <w:rsid w:val="00294657"/>
    <w:rsid w:val="0029544B"/>
    <w:rsid w:val="002955EF"/>
    <w:rsid w:val="002958B3"/>
    <w:rsid w:val="00295C59"/>
    <w:rsid w:val="00295DE5"/>
    <w:rsid w:val="0029738E"/>
    <w:rsid w:val="00297647"/>
    <w:rsid w:val="0029768B"/>
    <w:rsid w:val="002A1198"/>
    <w:rsid w:val="002A17FC"/>
    <w:rsid w:val="002A28F2"/>
    <w:rsid w:val="002A29D9"/>
    <w:rsid w:val="002A2ECB"/>
    <w:rsid w:val="002A3F32"/>
    <w:rsid w:val="002A4B6F"/>
    <w:rsid w:val="002A4F56"/>
    <w:rsid w:val="002A6305"/>
    <w:rsid w:val="002A78CB"/>
    <w:rsid w:val="002A7DC7"/>
    <w:rsid w:val="002B1159"/>
    <w:rsid w:val="002B2782"/>
    <w:rsid w:val="002B2EC9"/>
    <w:rsid w:val="002B3067"/>
    <w:rsid w:val="002B30D9"/>
    <w:rsid w:val="002B3717"/>
    <w:rsid w:val="002B459C"/>
    <w:rsid w:val="002B4E0C"/>
    <w:rsid w:val="002B5E84"/>
    <w:rsid w:val="002B66D5"/>
    <w:rsid w:val="002B7261"/>
    <w:rsid w:val="002C06A1"/>
    <w:rsid w:val="002C09FA"/>
    <w:rsid w:val="002C1107"/>
    <w:rsid w:val="002C232F"/>
    <w:rsid w:val="002C31E1"/>
    <w:rsid w:val="002C5E69"/>
    <w:rsid w:val="002C706B"/>
    <w:rsid w:val="002C710E"/>
    <w:rsid w:val="002C7C73"/>
    <w:rsid w:val="002D0662"/>
    <w:rsid w:val="002D0925"/>
    <w:rsid w:val="002D0E81"/>
    <w:rsid w:val="002D23ED"/>
    <w:rsid w:val="002D2C5A"/>
    <w:rsid w:val="002D2F72"/>
    <w:rsid w:val="002D335D"/>
    <w:rsid w:val="002D3395"/>
    <w:rsid w:val="002D4A3F"/>
    <w:rsid w:val="002D4D91"/>
    <w:rsid w:val="002D56AE"/>
    <w:rsid w:val="002D6464"/>
    <w:rsid w:val="002D6899"/>
    <w:rsid w:val="002D6995"/>
    <w:rsid w:val="002D739C"/>
    <w:rsid w:val="002E068A"/>
    <w:rsid w:val="002E1695"/>
    <w:rsid w:val="002E3DE9"/>
    <w:rsid w:val="002E4BA4"/>
    <w:rsid w:val="002E4D7C"/>
    <w:rsid w:val="002E5FB8"/>
    <w:rsid w:val="002E694E"/>
    <w:rsid w:val="002E7A52"/>
    <w:rsid w:val="002E7E70"/>
    <w:rsid w:val="002F049C"/>
    <w:rsid w:val="002F118D"/>
    <w:rsid w:val="002F12F1"/>
    <w:rsid w:val="002F231D"/>
    <w:rsid w:val="002F2FC7"/>
    <w:rsid w:val="002F60DF"/>
    <w:rsid w:val="002F61AA"/>
    <w:rsid w:val="003016C3"/>
    <w:rsid w:val="0030172E"/>
    <w:rsid w:val="00301859"/>
    <w:rsid w:val="00301ECB"/>
    <w:rsid w:val="003020A5"/>
    <w:rsid w:val="003030DC"/>
    <w:rsid w:val="00304E31"/>
    <w:rsid w:val="003051C2"/>
    <w:rsid w:val="00305CFB"/>
    <w:rsid w:val="00306085"/>
    <w:rsid w:val="00307415"/>
    <w:rsid w:val="00307727"/>
    <w:rsid w:val="00307B16"/>
    <w:rsid w:val="00310963"/>
    <w:rsid w:val="003133BF"/>
    <w:rsid w:val="003133CE"/>
    <w:rsid w:val="00313901"/>
    <w:rsid w:val="00313BD3"/>
    <w:rsid w:val="00313FFD"/>
    <w:rsid w:val="00314556"/>
    <w:rsid w:val="0031529C"/>
    <w:rsid w:val="00316604"/>
    <w:rsid w:val="00316683"/>
    <w:rsid w:val="00316BBF"/>
    <w:rsid w:val="00316F98"/>
    <w:rsid w:val="00317351"/>
    <w:rsid w:val="0031760E"/>
    <w:rsid w:val="00317BCA"/>
    <w:rsid w:val="00317DF9"/>
    <w:rsid w:val="00317F3B"/>
    <w:rsid w:val="003213F3"/>
    <w:rsid w:val="00321BDE"/>
    <w:rsid w:val="00324232"/>
    <w:rsid w:val="00324396"/>
    <w:rsid w:val="003249E2"/>
    <w:rsid w:val="00324B07"/>
    <w:rsid w:val="00324EB8"/>
    <w:rsid w:val="003250CF"/>
    <w:rsid w:val="00325A82"/>
    <w:rsid w:val="00326329"/>
    <w:rsid w:val="00327832"/>
    <w:rsid w:val="0033013C"/>
    <w:rsid w:val="0033142D"/>
    <w:rsid w:val="003324E8"/>
    <w:rsid w:val="003326F3"/>
    <w:rsid w:val="00333068"/>
    <w:rsid w:val="0033337F"/>
    <w:rsid w:val="003333B7"/>
    <w:rsid w:val="00333603"/>
    <w:rsid w:val="0033392B"/>
    <w:rsid w:val="00334F96"/>
    <w:rsid w:val="00337D6C"/>
    <w:rsid w:val="00341506"/>
    <w:rsid w:val="00342630"/>
    <w:rsid w:val="00343144"/>
    <w:rsid w:val="003432F0"/>
    <w:rsid w:val="003437E5"/>
    <w:rsid w:val="00343E42"/>
    <w:rsid w:val="00344702"/>
    <w:rsid w:val="00345F8D"/>
    <w:rsid w:val="003474DE"/>
    <w:rsid w:val="0035047A"/>
    <w:rsid w:val="00350932"/>
    <w:rsid w:val="00351214"/>
    <w:rsid w:val="0035166B"/>
    <w:rsid w:val="0035176C"/>
    <w:rsid w:val="00351CA1"/>
    <w:rsid w:val="00351F2D"/>
    <w:rsid w:val="00352D7A"/>
    <w:rsid w:val="00353E6B"/>
    <w:rsid w:val="003545C8"/>
    <w:rsid w:val="00354C12"/>
    <w:rsid w:val="003554F6"/>
    <w:rsid w:val="003566A4"/>
    <w:rsid w:val="0035778B"/>
    <w:rsid w:val="00357BA1"/>
    <w:rsid w:val="00357FF5"/>
    <w:rsid w:val="00360AB9"/>
    <w:rsid w:val="00360F21"/>
    <w:rsid w:val="00361236"/>
    <w:rsid w:val="00361D4C"/>
    <w:rsid w:val="00362399"/>
    <w:rsid w:val="00362C1D"/>
    <w:rsid w:val="00363590"/>
    <w:rsid w:val="003636AD"/>
    <w:rsid w:val="003636B3"/>
    <w:rsid w:val="00363F6F"/>
    <w:rsid w:val="00364477"/>
    <w:rsid w:val="003647D8"/>
    <w:rsid w:val="003649F0"/>
    <w:rsid w:val="0036599B"/>
    <w:rsid w:val="00365E40"/>
    <w:rsid w:val="00366891"/>
    <w:rsid w:val="00366BA5"/>
    <w:rsid w:val="00366F26"/>
    <w:rsid w:val="00366FD4"/>
    <w:rsid w:val="003675CB"/>
    <w:rsid w:val="00370D82"/>
    <w:rsid w:val="00371229"/>
    <w:rsid w:val="003720A7"/>
    <w:rsid w:val="00373558"/>
    <w:rsid w:val="00373B51"/>
    <w:rsid w:val="00373EAB"/>
    <w:rsid w:val="00374151"/>
    <w:rsid w:val="00374860"/>
    <w:rsid w:val="0037664C"/>
    <w:rsid w:val="0037716A"/>
    <w:rsid w:val="003774E5"/>
    <w:rsid w:val="003778BC"/>
    <w:rsid w:val="00377929"/>
    <w:rsid w:val="00380013"/>
    <w:rsid w:val="00380580"/>
    <w:rsid w:val="003811FE"/>
    <w:rsid w:val="0038200C"/>
    <w:rsid w:val="00382372"/>
    <w:rsid w:val="00382524"/>
    <w:rsid w:val="0038296E"/>
    <w:rsid w:val="00382C66"/>
    <w:rsid w:val="0038382A"/>
    <w:rsid w:val="00383C1B"/>
    <w:rsid w:val="00383CFA"/>
    <w:rsid w:val="00383D58"/>
    <w:rsid w:val="0038548A"/>
    <w:rsid w:val="003854C8"/>
    <w:rsid w:val="003863EE"/>
    <w:rsid w:val="00386BCA"/>
    <w:rsid w:val="003878CF"/>
    <w:rsid w:val="0038794C"/>
    <w:rsid w:val="00390375"/>
    <w:rsid w:val="00390A3A"/>
    <w:rsid w:val="003915AD"/>
    <w:rsid w:val="00392195"/>
    <w:rsid w:val="003929B6"/>
    <w:rsid w:val="00392AD5"/>
    <w:rsid w:val="00392B4D"/>
    <w:rsid w:val="00392E4B"/>
    <w:rsid w:val="003936E6"/>
    <w:rsid w:val="00393F33"/>
    <w:rsid w:val="0039439C"/>
    <w:rsid w:val="00395214"/>
    <w:rsid w:val="00395945"/>
    <w:rsid w:val="003969CB"/>
    <w:rsid w:val="003969E9"/>
    <w:rsid w:val="00396C0F"/>
    <w:rsid w:val="00397AD4"/>
    <w:rsid w:val="003A0C73"/>
    <w:rsid w:val="003A1BC0"/>
    <w:rsid w:val="003A294F"/>
    <w:rsid w:val="003A36C7"/>
    <w:rsid w:val="003A4399"/>
    <w:rsid w:val="003A4BD8"/>
    <w:rsid w:val="003A5385"/>
    <w:rsid w:val="003A5FA7"/>
    <w:rsid w:val="003A717A"/>
    <w:rsid w:val="003A7A54"/>
    <w:rsid w:val="003B00AD"/>
    <w:rsid w:val="003B0A29"/>
    <w:rsid w:val="003B10C3"/>
    <w:rsid w:val="003B12ED"/>
    <w:rsid w:val="003B1459"/>
    <w:rsid w:val="003B186A"/>
    <w:rsid w:val="003B1B93"/>
    <w:rsid w:val="003B2228"/>
    <w:rsid w:val="003B25DF"/>
    <w:rsid w:val="003B3D72"/>
    <w:rsid w:val="003B3FB6"/>
    <w:rsid w:val="003B4015"/>
    <w:rsid w:val="003B406A"/>
    <w:rsid w:val="003B45BD"/>
    <w:rsid w:val="003B47C6"/>
    <w:rsid w:val="003B4D3C"/>
    <w:rsid w:val="003B4DB9"/>
    <w:rsid w:val="003B4E92"/>
    <w:rsid w:val="003B5569"/>
    <w:rsid w:val="003B5D7D"/>
    <w:rsid w:val="003B6868"/>
    <w:rsid w:val="003C0848"/>
    <w:rsid w:val="003C1B9B"/>
    <w:rsid w:val="003C21C6"/>
    <w:rsid w:val="003C33D0"/>
    <w:rsid w:val="003C3F60"/>
    <w:rsid w:val="003C40FD"/>
    <w:rsid w:val="003C4CA0"/>
    <w:rsid w:val="003C5384"/>
    <w:rsid w:val="003C5489"/>
    <w:rsid w:val="003C54A4"/>
    <w:rsid w:val="003C586B"/>
    <w:rsid w:val="003C675F"/>
    <w:rsid w:val="003C792A"/>
    <w:rsid w:val="003C7CC5"/>
    <w:rsid w:val="003D085D"/>
    <w:rsid w:val="003D0FC4"/>
    <w:rsid w:val="003D1513"/>
    <w:rsid w:val="003D2130"/>
    <w:rsid w:val="003D26E3"/>
    <w:rsid w:val="003D2A0E"/>
    <w:rsid w:val="003D2EC5"/>
    <w:rsid w:val="003D3F3D"/>
    <w:rsid w:val="003D4245"/>
    <w:rsid w:val="003D4942"/>
    <w:rsid w:val="003D568D"/>
    <w:rsid w:val="003D59BB"/>
    <w:rsid w:val="003D640D"/>
    <w:rsid w:val="003E0453"/>
    <w:rsid w:val="003E09E7"/>
    <w:rsid w:val="003E0DE1"/>
    <w:rsid w:val="003E1087"/>
    <w:rsid w:val="003E186D"/>
    <w:rsid w:val="003E1CDE"/>
    <w:rsid w:val="003E2D3D"/>
    <w:rsid w:val="003E48AA"/>
    <w:rsid w:val="003E54F3"/>
    <w:rsid w:val="003E6580"/>
    <w:rsid w:val="003E759F"/>
    <w:rsid w:val="003F09BB"/>
    <w:rsid w:val="003F11BA"/>
    <w:rsid w:val="003F1323"/>
    <w:rsid w:val="003F1C46"/>
    <w:rsid w:val="003F2CB8"/>
    <w:rsid w:val="003F313C"/>
    <w:rsid w:val="003F6EB0"/>
    <w:rsid w:val="00400648"/>
    <w:rsid w:val="0040068F"/>
    <w:rsid w:val="004006EC"/>
    <w:rsid w:val="00400783"/>
    <w:rsid w:val="00402D49"/>
    <w:rsid w:val="0040330F"/>
    <w:rsid w:val="004034D9"/>
    <w:rsid w:val="004038A5"/>
    <w:rsid w:val="00403B32"/>
    <w:rsid w:val="004047D2"/>
    <w:rsid w:val="00405D49"/>
    <w:rsid w:val="00405DD7"/>
    <w:rsid w:val="00406568"/>
    <w:rsid w:val="00406DD3"/>
    <w:rsid w:val="0040722B"/>
    <w:rsid w:val="00407BDB"/>
    <w:rsid w:val="00407EA4"/>
    <w:rsid w:val="00411919"/>
    <w:rsid w:val="0041196D"/>
    <w:rsid w:val="00411EF3"/>
    <w:rsid w:val="004121C6"/>
    <w:rsid w:val="0041356C"/>
    <w:rsid w:val="00415EC2"/>
    <w:rsid w:val="00416148"/>
    <w:rsid w:val="004161C2"/>
    <w:rsid w:val="00416BBE"/>
    <w:rsid w:val="00416C7A"/>
    <w:rsid w:val="00417575"/>
    <w:rsid w:val="004179FC"/>
    <w:rsid w:val="00417A96"/>
    <w:rsid w:val="00417B64"/>
    <w:rsid w:val="0042081D"/>
    <w:rsid w:val="0042121E"/>
    <w:rsid w:val="00421AC6"/>
    <w:rsid w:val="00421C86"/>
    <w:rsid w:val="00423123"/>
    <w:rsid w:val="00423EB3"/>
    <w:rsid w:val="004244CF"/>
    <w:rsid w:val="00424C83"/>
    <w:rsid w:val="00424C94"/>
    <w:rsid w:val="00425387"/>
    <w:rsid w:val="00425C5C"/>
    <w:rsid w:val="00425F63"/>
    <w:rsid w:val="00426BCF"/>
    <w:rsid w:val="00430374"/>
    <w:rsid w:val="00432784"/>
    <w:rsid w:val="00432C70"/>
    <w:rsid w:val="004335EB"/>
    <w:rsid w:val="00434730"/>
    <w:rsid w:val="00434EAC"/>
    <w:rsid w:val="00434FEF"/>
    <w:rsid w:val="00435B82"/>
    <w:rsid w:val="00440054"/>
    <w:rsid w:val="00441E75"/>
    <w:rsid w:val="004420C4"/>
    <w:rsid w:val="004423C0"/>
    <w:rsid w:val="00442593"/>
    <w:rsid w:val="00442A5D"/>
    <w:rsid w:val="0044360E"/>
    <w:rsid w:val="00443BFD"/>
    <w:rsid w:val="00444823"/>
    <w:rsid w:val="00444D9E"/>
    <w:rsid w:val="00444FAA"/>
    <w:rsid w:val="00445340"/>
    <w:rsid w:val="00445373"/>
    <w:rsid w:val="004456EA"/>
    <w:rsid w:val="00446B14"/>
    <w:rsid w:val="00447065"/>
    <w:rsid w:val="004476E7"/>
    <w:rsid w:val="004477EB"/>
    <w:rsid w:val="00450B5D"/>
    <w:rsid w:val="00450E91"/>
    <w:rsid w:val="00451CD5"/>
    <w:rsid w:val="00452387"/>
    <w:rsid w:val="00452ED9"/>
    <w:rsid w:val="004531EE"/>
    <w:rsid w:val="00453DF2"/>
    <w:rsid w:val="00454124"/>
    <w:rsid w:val="004541BC"/>
    <w:rsid w:val="00455D5D"/>
    <w:rsid w:val="00456719"/>
    <w:rsid w:val="00457A5A"/>
    <w:rsid w:val="00457FE5"/>
    <w:rsid w:val="0046043A"/>
    <w:rsid w:val="004605B5"/>
    <w:rsid w:val="00460A03"/>
    <w:rsid w:val="00460BC2"/>
    <w:rsid w:val="00460D51"/>
    <w:rsid w:val="00462458"/>
    <w:rsid w:val="0046346D"/>
    <w:rsid w:val="00465814"/>
    <w:rsid w:val="00466AE4"/>
    <w:rsid w:val="00466CE7"/>
    <w:rsid w:val="004671EF"/>
    <w:rsid w:val="004673AC"/>
    <w:rsid w:val="004677DE"/>
    <w:rsid w:val="00467A10"/>
    <w:rsid w:val="00467EA1"/>
    <w:rsid w:val="00470F66"/>
    <w:rsid w:val="00470FC4"/>
    <w:rsid w:val="004732C0"/>
    <w:rsid w:val="00473621"/>
    <w:rsid w:val="00473D24"/>
    <w:rsid w:val="00474000"/>
    <w:rsid w:val="00474D31"/>
    <w:rsid w:val="00475C91"/>
    <w:rsid w:val="00476132"/>
    <w:rsid w:val="004764AF"/>
    <w:rsid w:val="004776A8"/>
    <w:rsid w:val="004805E3"/>
    <w:rsid w:val="00480669"/>
    <w:rsid w:val="0048190A"/>
    <w:rsid w:val="00481EC9"/>
    <w:rsid w:val="00481F81"/>
    <w:rsid w:val="0048202C"/>
    <w:rsid w:val="004824FA"/>
    <w:rsid w:val="004829CC"/>
    <w:rsid w:val="00483691"/>
    <w:rsid w:val="0048373C"/>
    <w:rsid w:val="004837C6"/>
    <w:rsid w:val="004853AA"/>
    <w:rsid w:val="00485EE3"/>
    <w:rsid w:val="00486664"/>
    <w:rsid w:val="00487ED8"/>
    <w:rsid w:val="004905A5"/>
    <w:rsid w:val="00490A10"/>
    <w:rsid w:val="004915E2"/>
    <w:rsid w:val="004917D3"/>
    <w:rsid w:val="00491D08"/>
    <w:rsid w:val="00493F5C"/>
    <w:rsid w:val="0049463E"/>
    <w:rsid w:val="004951E4"/>
    <w:rsid w:val="00495F52"/>
    <w:rsid w:val="00496650"/>
    <w:rsid w:val="00496C5E"/>
    <w:rsid w:val="00496D1D"/>
    <w:rsid w:val="00497943"/>
    <w:rsid w:val="004A010E"/>
    <w:rsid w:val="004A030F"/>
    <w:rsid w:val="004A1096"/>
    <w:rsid w:val="004A1A41"/>
    <w:rsid w:val="004A2F72"/>
    <w:rsid w:val="004A390B"/>
    <w:rsid w:val="004A3E35"/>
    <w:rsid w:val="004A4952"/>
    <w:rsid w:val="004A4E7C"/>
    <w:rsid w:val="004A55F1"/>
    <w:rsid w:val="004A6155"/>
    <w:rsid w:val="004A615B"/>
    <w:rsid w:val="004A6857"/>
    <w:rsid w:val="004A6B4E"/>
    <w:rsid w:val="004A6D0B"/>
    <w:rsid w:val="004A709D"/>
    <w:rsid w:val="004A778A"/>
    <w:rsid w:val="004A7FF9"/>
    <w:rsid w:val="004B1F63"/>
    <w:rsid w:val="004B203C"/>
    <w:rsid w:val="004B21A8"/>
    <w:rsid w:val="004B28A9"/>
    <w:rsid w:val="004B362C"/>
    <w:rsid w:val="004B59B3"/>
    <w:rsid w:val="004C11C6"/>
    <w:rsid w:val="004C1C82"/>
    <w:rsid w:val="004C1CA7"/>
    <w:rsid w:val="004C2A11"/>
    <w:rsid w:val="004C4A61"/>
    <w:rsid w:val="004C4D1D"/>
    <w:rsid w:val="004C5053"/>
    <w:rsid w:val="004C54F9"/>
    <w:rsid w:val="004C5904"/>
    <w:rsid w:val="004C5A7A"/>
    <w:rsid w:val="004C69BE"/>
    <w:rsid w:val="004D1B38"/>
    <w:rsid w:val="004D1E1D"/>
    <w:rsid w:val="004D2846"/>
    <w:rsid w:val="004D2AFE"/>
    <w:rsid w:val="004D3E0B"/>
    <w:rsid w:val="004D56BA"/>
    <w:rsid w:val="004D753D"/>
    <w:rsid w:val="004D7F8C"/>
    <w:rsid w:val="004E15D2"/>
    <w:rsid w:val="004E2E2D"/>
    <w:rsid w:val="004E37F8"/>
    <w:rsid w:val="004E3D8A"/>
    <w:rsid w:val="004E44C2"/>
    <w:rsid w:val="004E5209"/>
    <w:rsid w:val="004E6337"/>
    <w:rsid w:val="004E63DD"/>
    <w:rsid w:val="004E7249"/>
    <w:rsid w:val="004E7B37"/>
    <w:rsid w:val="004E7CBB"/>
    <w:rsid w:val="004F01D8"/>
    <w:rsid w:val="004F04B1"/>
    <w:rsid w:val="004F0610"/>
    <w:rsid w:val="004F07AB"/>
    <w:rsid w:val="004F0B67"/>
    <w:rsid w:val="004F0C2C"/>
    <w:rsid w:val="004F1667"/>
    <w:rsid w:val="004F16DF"/>
    <w:rsid w:val="004F19EF"/>
    <w:rsid w:val="004F1D2E"/>
    <w:rsid w:val="004F2159"/>
    <w:rsid w:val="004F23BC"/>
    <w:rsid w:val="004F2564"/>
    <w:rsid w:val="004F26DC"/>
    <w:rsid w:val="004F308E"/>
    <w:rsid w:val="004F32F5"/>
    <w:rsid w:val="004F3356"/>
    <w:rsid w:val="004F3648"/>
    <w:rsid w:val="004F3C4A"/>
    <w:rsid w:val="004F3DC8"/>
    <w:rsid w:val="004F4A21"/>
    <w:rsid w:val="004F4ED0"/>
    <w:rsid w:val="004F5216"/>
    <w:rsid w:val="004F5293"/>
    <w:rsid w:val="004F5E75"/>
    <w:rsid w:val="004F6032"/>
    <w:rsid w:val="004F61A7"/>
    <w:rsid w:val="004F635F"/>
    <w:rsid w:val="004F71E9"/>
    <w:rsid w:val="004F71FA"/>
    <w:rsid w:val="004F7417"/>
    <w:rsid w:val="004F761E"/>
    <w:rsid w:val="004F7C85"/>
    <w:rsid w:val="004F7E6F"/>
    <w:rsid w:val="00501846"/>
    <w:rsid w:val="005028C9"/>
    <w:rsid w:val="005041AB"/>
    <w:rsid w:val="00505691"/>
    <w:rsid w:val="005056CD"/>
    <w:rsid w:val="00505A7F"/>
    <w:rsid w:val="00506508"/>
    <w:rsid w:val="005077FE"/>
    <w:rsid w:val="0051012B"/>
    <w:rsid w:val="00510330"/>
    <w:rsid w:val="0051119A"/>
    <w:rsid w:val="00511C05"/>
    <w:rsid w:val="005128AE"/>
    <w:rsid w:val="00513C93"/>
    <w:rsid w:val="00513CAA"/>
    <w:rsid w:val="00513D4D"/>
    <w:rsid w:val="005157D0"/>
    <w:rsid w:val="00515F05"/>
    <w:rsid w:val="00516360"/>
    <w:rsid w:val="005172EA"/>
    <w:rsid w:val="005173B2"/>
    <w:rsid w:val="00517817"/>
    <w:rsid w:val="00517FEE"/>
    <w:rsid w:val="00520BEB"/>
    <w:rsid w:val="00520BFD"/>
    <w:rsid w:val="00520C72"/>
    <w:rsid w:val="0052172E"/>
    <w:rsid w:val="00521FE8"/>
    <w:rsid w:val="0052327A"/>
    <w:rsid w:val="0052376A"/>
    <w:rsid w:val="00523918"/>
    <w:rsid w:val="0052424F"/>
    <w:rsid w:val="00524832"/>
    <w:rsid w:val="005256CD"/>
    <w:rsid w:val="00525902"/>
    <w:rsid w:val="005311DA"/>
    <w:rsid w:val="00531628"/>
    <w:rsid w:val="00532F08"/>
    <w:rsid w:val="005343F6"/>
    <w:rsid w:val="0053533B"/>
    <w:rsid w:val="005353A7"/>
    <w:rsid w:val="00535FD6"/>
    <w:rsid w:val="005368DD"/>
    <w:rsid w:val="005379D9"/>
    <w:rsid w:val="00537A56"/>
    <w:rsid w:val="00537B9F"/>
    <w:rsid w:val="00540ECA"/>
    <w:rsid w:val="00541435"/>
    <w:rsid w:val="005420B9"/>
    <w:rsid w:val="00542570"/>
    <w:rsid w:val="00542EB2"/>
    <w:rsid w:val="00542F69"/>
    <w:rsid w:val="00543651"/>
    <w:rsid w:val="005437A3"/>
    <w:rsid w:val="005442CA"/>
    <w:rsid w:val="005445AC"/>
    <w:rsid w:val="00544665"/>
    <w:rsid w:val="00545880"/>
    <w:rsid w:val="005458A9"/>
    <w:rsid w:val="005468E4"/>
    <w:rsid w:val="0054730B"/>
    <w:rsid w:val="0054740A"/>
    <w:rsid w:val="00550F7A"/>
    <w:rsid w:val="00551FEC"/>
    <w:rsid w:val="005529EE"/>
    <w:rsid w:val="00552B08"/>
    <w:rsid w:val="00552BCE"/>
    <w:rsid w:val="00553468"/>
    <w:rsid w:val="0055353D"/>
    <w:rsid w:val="005538B7"/>
    <w:rsid w:val="00554074"/>
    <w:rsid w:val="005544C6"/>
    <w:rsid w:val="005548CD"/>
    <w:rsid w:val="0055503F"/>
    <w:rsid w:val="0055586E"/>
    <w:rsid w:val="00556E50"/>
    <w:rsid w:val="00560808"/>
    <w:rsid w:val="005610A2"/>
    <w:rsid w:val="005613E8"/>
    <w:rsid w:val="00562454"/>
    <w:rsid w:val="00562526"/>
    <w:rsid w:val="00562959"/>
    <w:rsid w:val="00563A12"/>
    <w:rsid w:val="00563CD7"/>
    <w:rsid w:val="00564292"/>
    <w:rsid w:val="00564375"/>
    <w:rsid w:val="00564670"/>
    <w:rsid w:val="00565B4A"/>
    <w:rsid w:val="00565D38"/>
    <w:rsid w:val="00566653"/>
    <w:rsid w:val="005668C0"/>
    <w:rsid w:val="0057017D"/>
    <w:rsid w:val="00570338"/>
    <w:rsid w:val="005708FF"/>
    <w:rsid w:val="0057125D"/>
    <w:rsid w:val="00571ABD"/>
    <w:rsid w:val="00572804"/>
    <w:rsid w:val="00572A12"/>
    <w:rsid w:val="00575455"/>
    <w:rsid w:val="00575607"/>
    <w:rsid w:val="00576C23"/>
    <w:rsid w:val="00577F3C"/>
    <w:rsid w:val="00580EFB"/>
    <w:rsid w:val="0058142B"/>
    <w:rsid w:val="00581633"/>
    <w:rsid w:val="00581C32"/>
    <w:rsid w:val="005825B8"/>
    <w:rsid w:val="00582780"/>
    <w:rsid w:val="00582B51"/>
    <w:rsid w:val="00583714"/>
    <w:rsid w:val="00583F6A"/>
    <w:rsid w:val="00583F88"/>
    <w:rsid w:val="00584255"/>
    <w:rsid w:val="005845C7"/>
    <w:rsid w:val="005847CC"/>
    <w:rsid w:val="00585DC1"/>
    <w:rsid w:val="005873CD"/>
    <w:rsid w:val="00587C27"/>
    <w:rsid w:val="00590F60"/>
    <w:rsid w:val="00590FF2"/>
    <w:rsid w:val="0059161F"/>
    <w:rsid w:val="005916B5"/>
    <w:rsid w:val="00591F8F"/>
    <w:rsid w:val="005949CA"/>
    <w:rsid w:val="005954A6"/>
    <w:rsid w:val="00596ACD"/>
    <w:rsid w:val="005A0188"/>
    <w:rsid w:val="005A01B7"/>
    <w:rsid w:val="005A0280"/>
    <w:rsid w:val="005A11E2"/>
    <w:rsid w:val="005A12E5"/>
    <w:rsid w:val="005A1347"/>
    <w:rsid w:val="005A1452"/>
    <w:rsid w:val="005A17AF"/>
    <w:rsid w:val="005A2B08"/>
    <w:rsid w:val="005A313D"/>
    <w:rsid w:val="005A361E"/>
    <w:rsid w:val="005A3AED"/>
    <w:rsid w:val="005A5463"/>
    <w:rsid w:val="005A68A1"/>
    <w:rsid w:val="005A6F49"/>
    <w:rsid w:val="005A734F"/>
    <w:rsid w:val="005A7658"/>
    <w:rsid w:val="005A78BC"/>
    <w:rsid w:val="005A7C1D"/>
    <w:rsid w:val="005B036E"/>
    <w:rsid w:val="005B27CF"/>
    <w:rsid w:val="005B2B4A"/>
    <w:rsid w:val="005B2E99"/>
    <w:rsid w:val="005B3583"/>
    <w:rsid w:val="005B4A13"/>
    <w:rsid w:val="005B7833"/>
    <w:rsid w:val="005B785B"/>
    <w:rsid w:val="005C1295"/>
    <w:rsid w:val="005C158F"/>
    <w:rsid w:val="005C181B"/>
    <w:rsid w:val="005C1960"/>
    <w:rsid w:val="005C292C"/>
    <w:rsid w:val="005C2B51"/>
    <w:rsid w:val="005C4C51"/>
    <w:rsid w:val="005C4D44"/>
    <w:rsid w:val="005C5306"/>
    <w:rsid w:val="005C5597"/>
    <w:rsid w:val="005C5925"/>
    <w:rsid w:val="005C5B1D"/>
    <w:rsid w:val="005C63DE"/>
    <w:rsid w:val="005C729B"/>
    <w:rsid w:val="005C7ED9"/>
    <w:rsid w:val="005D0582"/>
    <w:rsid w:val="005D06A4"/>
    <w:rsid w:val="005D11C9"/>
    <w:rsid w:val="005D1501"/>
    <w:rsid w:val="005D186D"/>
    <w:rsid w:val="005D2265"/>
    <w:rsid w:val="005D2635"/>
    <w:rsid w:val="005D38ED"/>
    <w:rsid w:val="005D3F65"/>
    <w:rsid w:val="005D44B5"/>
    <w:rsid w:val="005D4F92"/>
    <w:rsid w:val="005D5F10"/>
    <w:rsid w:val="005D6213"/>
    <w:rsid w:val="005D6C6A"/>
    <w:rsid w:val="005E16C2"/>
    <w:rsid w:val="005E16D7"/>
    <w:rsid w:val="005E1B0B"/>
    <w:rsid w:val="005E2F33"/>
    <w:rsid w:val="005E31A2"/>
    <w:rsid w:val="005E36B2"/>
    <w:rsid w:val="005E3F58"/>
    <w:rsid w:val="005E517B"/>
    <w:rsid w:val="005E5395"/>
    <w:rsid w:val="005E6A61"/>
    <w:rsid w:val="005F004E"/>
    <w:rsid w:val="005F0388"/>
    <w:rsid w:val="005F0D50"/>
    <w:rsid w:val="005F1455"/>
    <w:rsid w:val="005F186B"/>
    <w:rsid w:val="005F2973"/>
    <w:rsid w:val="005F3523"/>
    <w:rsid w:val="005F74FE"/>
    <w:rsid w:val="0060028C"/>
    <w:rsid w:val="006004BB"/>
    <w:rsid w:val="00602264"/>
    <w:rsid w:val="0060229F"/>
    <w:rsid w:val="0060247A"/>
    <w:rsid w:val="0060324B"/>
    <w:rsid w:val="00603633"/>
    <w:rsid w:val="00604C49"/>
    <w:rsid w:val="00604EB9"/>
    <w:rsid w:val="006053BC"/>
    <w:rsid w:val="0060581C"/>
    <w:rsid w:val="00605CC4"/>
    <w:rsid w:val="006070A9"/>
    <w:rsid w:val="00610FAD"/>
    <w:rsid w:val="006114EA"/>
    <w:rsid w:val="00611E12"/>
    <w:rsid w:val="00612173"/>
    <w:rsid w:val="0061303E"/>
    <w:rsid w:val="0061326C"/>
    <w:rsid w:val="00615560"/>
    <w:rsid w:val="00615C35"/>
    <w:rsid w:val="00616835"/>
    <w:rsid w:val="00617C71"/>
    <w:rsid w:val="006203CB"/>
    <w:rsid w:val="00620605"/>
    <w:rsid w:val="00621419"/>
    <w:rsid w:val="00621A02"/>
    <w:rsid w:val="00621BBB"/>
    <w:rsid w:val="00621DB9"/>
    <w:rsid w:val="00622119"/>
    <w:rsid w:val="00622516"/>
    <w:rsid w:val="00622760"/>
    <w:rsid w:val="00622857"/>
    <w:rsid w:val="00622F7D"/>
    <w:rsid w:val="00623A42"/>
    <w:rsid w:val="00623D1D"/>
    <w:rsid w:val="00624816"/>
    <w:rsid w:val="0062735F"/>
    <w:rsid w:val="0063049A"/>
    <w:rsid w:val="00630A14"/>
    <w:rsid w:val="00631740"/>
    <w:rsid w:val="00631E56"/>
    <w:rsid w:val="00632C75"/>
    <w:rsid w:val="00634C38"/>
    <w:rsid w:val="006358FE"/>
    <w:rsid w:val="006361AB"/>
    <w:rsid w:val="00636680"/>
    <w:rsid w:val="006369FF"/>
    <w:rsid w:val="00636A0C"/>
    <w:rsid w:val="00636B87"/>
    <w:rsid w:val="00636DE1"/>
    <w:rsid w:val="00637E1B"/>
    <w:rsid w:val="00637F44"/>
    <w:rsid w:val="00641204"/>
    <w:rsid w:val="00641A72"/>
    <w:rsid w:val="0064264A"/>
    <w:rsid w:val="00642945"/>
    <w:rsid w:val="00642C6C"/>
    <w:rsid w:val="00642CB2"/>
    <w:rsid w:val="00642ECF"/>
    <w:rsid w:val="00642F27"/>
    <w:rsid w:val="00645021"/>
    <w:rsid w:val="00645C4D"/>
    <w:rsid w:val="00646C45"/>
    <w:rsid w:val="00647732"/>
    <w:rsid w:val="00650BAF"/>
    <w:rsid w:val="00651495"/>
    <w:rsid w:val="00652CDA"/>
    <w:rsid w:val="0065331F"/>
    <w:rsid w:val="0065584E"/>
    <w:rsid w:val="006564D5"/>
    <w:rsid w:val="006601CD"/>
    <w:rsid w:val="00660389"/>
    <w:rsid w:val="00660880"/>
    <w:rsid w:val="00660D70"/>
    <w:rsid w:val="00661397"/>
    <w:rsid w:val="00661A19"/>
    <w:rsid w:val="0066207B"/>
    <w:rsid w:val="00662273"/>
    <w:rsid w:val="00662A9D"/>
    <w:rsid w:val="00662DA0"/>
    <w:rsid w:val="00663C25"/>
    <w:rsid w:val="006642F3"/>
    <w:rsid w:val="00664746"/>
    <w:rsid w:val="00664FBF"/>
    <w:rsid w:val="006657D6"/>
    <w:rsid w:val="006668DF"/>
    <w:rsid w:val="00667486"/>
    <w:rsid w:val="006700CE"/>
    <w:rsid w:val="00670198"/>
    <w:rsid w:val="00670A06"/>
    <w:rsid w:val="00671548"/>
    <w:rsid w:val="0067210B"/>
    <w:rsid w:val="00672718"/>
    <w:rsid w:val="006737AF"/>
    <w:rsid w:val="0067390A"/>
    <w:rsid w:val="006749DA"/>
    <w:rsid w:val="006754A7"/>
    <w:rsid w:val="006765A4"/>
    <w:rsid w:val="00677793"/>
    <w:rsid w:val="00677D90"/>
    <w:rsid w:val="00677E1D"/>
    <w:rsid w:val="006807AA"/>
    <w:rsid w:val="00680B13"/>
    <w:rsid w:val="00680BE7"/>
    <w:rsid w:val="00681684"/>
    <w:rsid w:val="006833E4"/>
    <w:rsid w:val="00683696"/>
    <w:rsid w:val="006847C8"/>
    <w:rsid w:val="00684C4B"/>
    <w:rsid w:val="00684CBD"/>
    <w:rsid w:val="006854AA"/>
    <w:rsid w:val="0068588F"/>
    <w:rsid w:val="00685EFB"/>
    <w:rsid w:val="006864AF"/>
    <w:rsid w:val="00687257"/>
    <w:rsid w:val="00687282"/>
    <w:rsid w:val="006874E0"/>
    <w:rsid w:val="006876E2"/>
    <w:rsid w:val="006909E4"/>
    <w:rsid w:val="00690AB7"/>
    <w:rsid w:val="00690CB2"/>
    <w:rsid w:val="00691491"/>
    <w:rsid w:val="006916AA"/>
    <w:rsid w:val="00692B31"/>
    <w:rsid w:val="00692D72"/>
    <w:rsid w:val="00693067"/>
    <w:rsid w:val="006932C4"/>
    <w:rsid w:val="006937D3"/>
    <w:rsid w:val="006953F4"/>
    <w:rsid w:val="00696ACB"/>
    <w:rsid w:val="006A0E95"/>
    <w:rsid w:val="006A0F47"/>
    <w:rsid w:val="006A2D0A"/>
    <w:rsid w:val="006A2FF1"/>
    <w:rsid w:val="006A4A52"/>
    <w:rsid w:val="006A5831"/>
    <w:rsid w:val="006A5AFA"/>
    <w:rsid w:val="006A61A7"/>
    <w:rsid w:val="006A663F"/>
    <w:rsid w:val="006A6DEC"/>
    <w:rsid w:val="006A7320"/>
    <w:rsid w:val="006A73D2"/>
    <w:rsid w:val="006A7DA0"/>
    <w:rsid w:val="006B054C"/>
    <w:rsid w:val="006B18D6"/>
    <w:rsid w:val="006B1D9C"/>
    <w:rsid w:val="006B2082"/>
    <w:rsid w:val="006B3872"/>
    <w:rsid w:val="006B3FFB"/>
    <w:rsid w:val="006B4C03"/>
    <w:rsid w:val="006B5412"/>
    <w:rsid w:val="006B577F"/>
    <w:rsid w:val="006B6293"/>
    <w:rsid w:val="006B667B"/>
    <w:rsid w:val="006B7395"/>
    <w:rsid w:val="006B75E4"/>
    <w:rsid w:val="006C072C"/>
    <w:rsid w:val="006C0C23"/>
    <w:rsid w:val="006C1629"/>
    <w:rsid w:val="006C19FF"/>
    <w:rsid w:val="006C254E"/>
    <w:rsid w:val="006C3060"/>
    <w:rsid w:val="006C4CF1"/>
    <w:rsid w:val="006C4DB8"/>
    <w:rsid w:val="006C5BF2"/>
    <w:rsid w:val="006C5E54"/>
    <w:rsid w:val="006C6723"/>
    <w:rsid w:val="006C7297"/>
    <w:rsid w:val="006D0580"/>
    <w:rsid w:val="006D1516"/>
    <w:rsid w:val="006D1775"/>
    <w:rsid w:val="006D2B6A"/>
    <w:rsid w:val="006D32D3"/>
    <w:rsid w:val="006D3625"/>
    <w:rsid w:val="006D40A2"/>
    <w:rsid w:val="006D42C1"/>
    <w:rsid w:val="006D5254"/>
    <w:rsid w:val="006D600F"/>
    <w:rsid w:val="006D61DE"/>
    <w:rsid w:val="006D774F"/>
    <w:rsid w:val="006E0337"/>
    <w:rsid w:val="006E1948"/>
    <w:rsid w:val="006E4B91"/>
    <w:rsid w:val="006E4D4F"/>
    <w:rsid w:val="006E54C9"/>
    <w:rsid w:val="006E5B88"/>
    <w:rsid w:val="006E606D"/>
    <w:rsid w:val="006E6614"/>
    <w:rsid w:val="006E66C7"/>
    <w:rsid w:val="006E6A23"/>
    <w:rsid w:val="006E6DA7"/>
    <w:rsid w:val="006F0365"/>
    <w:rsid w:val="006F09C2"/>
    <w:rsid w:val="006F178F"/>
    <w:rsid w:val="006F1B85"/>
    <w:rsid w:val="006F2C7A"/>
    <w:rsid w:val="006F304E"/>
    <w:rsid w:val="006F3239"/>
    <w:rsid w:val="006F334D"/>
    <w:rsid w:val="006F3B36"/>
    <w:rsid w:val="006F3D16"/>
    <w:rsid w:val="006F40CE"/>
    <w:rsid w:val="006F5B59"/>
    <w:rsid w:val="006F5C45"/>
    <w:rsid w:val="006F7463"/>
    <w:rsid w:val="006F7653"/>
    <w:rsid w:val="006F7EC4"/>
    <w:rsid w:val="007016CD"/>
    <w:rsid w:val="0070188B"/>
    <w:rsid w:val="007023CD"/>
    <w:rsid w:val="00702B61"/>
    <w:rsid w:val="00704112"/>
    <w:rsid w:val="0070446C"/>
    <w:rsid w:val="00705531"/>
    <w:rsid w:val="00705742"/>
    <w:rsid w:val="007058E8"/>
    <w:rsid w:val="00705F83"/>
    <w:rsid w:val="0070683A"/>
    <w:rsid w:val="0070690E"/>
    <w:rsid w:val="0071205C"/>
    <w:rsid w:val="0071242A"/>
    <w:rsid w:val="0071256C"/>
    <w:rsid w:val="00713D63"/>
    <w:rsid w:val="00715C09"/>
    <w:rsid w:val="007164BB"/>
    <w:rsid w:val="00716E2A"/>
    <w:rsid w:val="00717096"/>
    <w:rsid w:val="007172BB"/>
    <w:rsid w:val="00717AA3"/>
    <w:rsid w:val="007208E1"/>
    <w:rsid w:val="00724867"/>
    <w:rsid w:val="00724C01"/>
    <w:rsid w:val="0072533E"/>
    <w:rsid w:val="00725998"/>
    <w:rsid w:val="00727752"/>
    <w:rsid w:val="00727A86"/>
    <w:rsid w:val="00727B0D"/>
    <w:rsid w:val="007300F9"/>
    <w:rsid w:val="00731A2A"/>
    <w:rsid w:val="00731B22"/>
    <w:rsid w:val="00731E38"/>
    <w:rsid w:val="00733762"/>
    <w:rsid w:val="00733BBB"/>
    <w:rsid w:val="007343D1"/>
    <w:rsid w:val="0073470E"/>
    <w:rsid w:val="00734C60"/>
    <w:rsid w:val="00734F5E"/>
    <w:rsid w:val="007364D8"/>
    <w:rsid w:val="00736D0E"/>
    <w:rsid w:val="00736D42"/>
    <w:rsid w:val="007403BE"/>
    <w:rsid w:val="00740EF9"/>
    <w:rsid w:val="0074108E"/>
    <w:rsid w:val="00741A0B"/>
    <w:rsid w:val="00741F6B"/>
    <w:rsid w:val="00742143"/>
    <w:rsid w:val="0074397D"/>
    <w:rsid w:val="00743EBD"/>
    <w:rsid w:val="007451EF"/>
    <w:rsid w:val="00747692"/>
    <w:rsid w:val="00751CC7"/>
    <w:rsid w:val="007532A2"/>
    <w:rsid w:val="00753BB6"/>
    <w:rsid w:val="0075465E"/>
    <w:rsid w:val="00755622"/>
    <w:rsid w:val="00755867"/>
    <w:rsid w:val="00755A48"/>
    <w:rsid w:val="00755C75"/>
    <w:rsid w:val="0075651C"/>
    <w:rsid w:val="0075777B"/>
    <w:rsid w:val="007615BD"/>
    <w:rsid w:val="00764F58"/>
    <w:rsid w:val="007655E0"/>
    <w:rsid w:val="00766862"/>
    <w:rsid w:val="00766894"/>
    <w:rsid w:val="007712EA"/>
    <w:rsid w:val="00771825"/>
    <w:rsid w:val="007724AB"/>
    <w:rsid w:val="007724DC"/>
    <w:rsid w:val="00772937"/>
    <w:rsid w:val="0077308A"/>
    <w:rsid w:val="007732ED"/>
    <w:rsid w:val="007741D4"/>
    <w:rsid w:val="007743A4"/>
    <w:rsid w:val="007745A6"/>
    <w:rsid w:val="00774B85"/>
    <w:rsid w:val="00775037"/>
    <w:rsid w:val="007755EA"/>
    <w:rsid w:val="007760DC"/>
    <w:rsid w:val="00776F93"/>
    <w:rsid w:val="007770BC"/>
    <w:rsid w:val="0078123A"/>
    <w:rsid w:val="00782627"/>
    <w:rsid w:val="00782B2D"/>
    <w:rsid w:val="00783BC6"/>
    <w:rsid w:val="007841E8"/>
    <w:rsid w:val="00784755"/>
    <w:rsid w:val="0078521E"/>
    <w:rsid w:val="0078665C"/>
    <w:rsid w:val="00787D39"/>
    <w:rsid w:val="00790A91"/>
    <w:rsid w:val="00790ADC"/>
    <w:rsid w:val="00790D98"/>
    <w:rsid w:val="00791586"/>
    <w:rsid w:val="007921E5"/>
    <w:rsid w:val="0079256A"/>
    <w:rsid w:val="00793015"/>
    <w:rsid w:val="0079359F"/>
    <w:rsid w:val="00794498"/>
    <w:rsid w:val="0079486B"/>
    <w:rsid w:val="0079538E"/>
    <w:rsid w:val="007961B4"/>
    <w:rsid w:val="00797A38"/>
    <w:rsid w:val="007A03D6"/>
    <w:rsid w:val="007A1100"/>
    <w:rsid w:val="007A24B4"/>
    <w:rsid w:val="007A3491"/>
    <w:rsid w:val="007A350C"/>
    <w:rsid w:val="007A38E3"/>
    <w:rsid w:val="007A707B"/>
    <w:rsid w:val="007A7175"/>
    <w:rsid w:val="007A7903"/>
    <w:rsid w:val="007B03CC"/>
    <w:rsid w:val="007B0A76"/>
    <w:rsid w:val="007B1554"/>
    <w:rsid w:val="007B1632"/>
    <w:rsid w:val="007B2404"/>
    <w:rsid w:val="007B24D6"/>
    <w:rsid w:val="007B2733"/>
    <w:rsid w:val="007B34A8"/>
    <w:rsid w:val="007B3524"/>
    <w:rsid w:val="007B37A1"/>
    <w:rsid w:val="007B395D"/>
    <w:rsid w:val="007B5198"/>
    <w:rsid w:val="007B6645"/>
    <w:rsid w:val="007B692D"/>
    <w:rsid w:val="007B7BED"/>
    <w:rsid w:val="007C11B5"/>
    <w:rsid w:val="007C2A58"/>
    <w:rsid w:val="007C34E3"/>
    <w:rsid w:val="007C49D1"/>
    <w:rsid w:val="007C5A36"/>
    <w:rsid w:val="007C6696"/>
    <w:rsid w:val="007C6779"/>
    <w:rsid w:val="007D0634"/>
    <w:rsid w:val="007D1164"/>
    <w:rsid w:val="007D1439"/>
    <w:rsid w:val="007D37D5"/>
    <w:rsid w:val="007D48F0"/>
    <w:rsid w:val="007D5F06"/>
    <w:rsid w:val="007D7F5E"/>
    <w:rsid w:val="007E0D45"/>
    <w:rsid w:val="007E141A"/>
    <w:rsid w:val="007E1790"/>
    <w:rsid w:val="007E19AD"/>
    <w:rsid w:val="007E2406"/>
    <w:rsid w:val="007E2BC7"/>
    <w:rsid w:val="007E3427"/>
    <w:rsid w:val="007E3BFE"/>
    <w:rsid w:val="007E5295"/>
    <w:rsid w:val="007E6584"/>
    <w:rsid w:val="007E69B6"/>
    <w:rsid w:val="007E6C62"/>
    <w:rsid w:val="007E7365"/>
    <w:rsid w:val="007E77E6"/>
    <w:rsid w:val="007E7F4D"/>
    <w:rsid w:val="007F04A7"/>
    <w:rsid w:val="007F1524"/>
    <w:rsid w:val="007F1853"/>
    <w:rsid w:val="007F1DFD"/>
    <w:rsid w:val="007F369F"/>
    <w:rsid w:val="007F4063"/>
    <w:rsid w:val="007F5610"/>
    <w:rsid w:val="007F621C"/>
    <w:rsid w:val="007F65C0"/>
    <w:rsid w:val="007F6DA9"/>
    <w:rsid w:val="007F720C"/>
    <w:rsid w:val="007F77E0"/>
    <w:rsid w:val="00800E99"/>
    <w:rsid w:val="0080123E"/>
    <w:rsid w:val="00801F91"/>
    <w:rsid w:val="0080359A"/>
    <w:rsid w:val="00803736"/>
    <w:rsid w:val="00804068"/>
    <w:rsid w:val="008055BD"/>
    <w:rsid w:val="008059D8"/>
    <w:rsid w:val="00806289"/>
    <w:rsid w:val="00810AC5"/>
    <w:rsid w:val="008130D1"/>
    <w:rsid w:val="0081500D"/>
    <w:rsid w:val="008156E8"/>
    <w:rsid w:val="008157F3"/>
    <w:rsid w:val="008157F9"/>
    <w:rsid w:val="00816AD2"/>
    <w:rsid w:val="00816EFD"/>
    <w:rsid w:val="0081719A"/>
    <w:rsid w:val="00817596"/>
    <w:rsid w:val="00817BCE"/>
    <w:rsid w:val="0082048B"/>
    <w:rsid w:val="00821F72"/>
    <w:rsid w:val="0082240E"/>
    <w:rsid w:val="00822A78"/>
    <w:rsid w:val="008254B0"/>
    <w:rsid w:val="00825C73"/>
    <w:rsid w:val="00826E68"/>
    <w:rsid w:val="0083156F"/>
    <w:rsid w:val="00831BB9"/>
    <w:rsid w:val="00831E1E"/>
    <w:rsid w:val="00831E94"/>
    <w:rsid w:val="0083228D"/>
    <w:rsid w:val="00832A13"/>
    <w:rsid w:val="00832DB0"/>
    <w:rsid w:val="0083300D"/>
    <w:rsid w:val="008335F2"/>
    <w:rsid w:val="0083477E"/>
    <w:rsid w:val="008351A4"/>
    <w:rsid w:val="00835C29"/>
    <w:rsid w:val="0083785A"/>
    <w:rsid w:val="0084075A"/>
    <w:rsid w:val="0084135C"/>
    <w:rsid w:val="00841979"/>
    <w:rsid w:val="008419B0"/>
    <w:rsid w:val="008422DA"/>
    <w:rsid w:val="00842D89"/>
    <w:rsid w:val="008433FE"/>
    <w:rsid w:val="00843E23"/>
    <w:rsid w:val="00845A07"/>
    <w:rsid w:val="00845FB6"/>
    <w:rsid w:val="008478DA"/>
    <w:rsid w:val="00847E9E"/>
    <w:rsid w:val="00847F39"/>
    <w:rsid w:val="00850825"/>
    <w:rsid w:val="00850F80"/>
    <w:rsid w:val="00851797"/>
    <w:rsid w:val="008518EE"/>
    <w:rsid w:val="00852B63"/>
    <w:rsid w:val="008530ED"/>
    <w:rsid w:val="008537B1"/>
    <w:rsid w:val="00853ED1"/>
    <w:rsid w:val="00853FE6"/>
    <w:rsid w:val="0085439A"/>
    <w:rsid w:val="00855A22"/>
    <w:rsid w:val="00856331"/>
    <w:rsid w:val="00856733"/>
    <w:rsid w:val="00856ABC"/>
    <w:rsid w:val="00856B28"/>
    <w:rsid w:val="00861806"/>
    <w:rsid w:val="00861A7A"/>
    <w:rsid w:val="008637B7"/>
    <w:rsid w:val="00863DC7"/>
    <w:rsid w:val="00864A6E"/>
    <w:rsid w:val="00864C2C"/>
    <w:rsid w:val="00864E22"/>
    <w:rsid w:val="00865F8D"/>
    <w:rsid w:val="008669E0"/>
    <w:rsid w:val="00866D0C"/>
    <w:rsid w:val="008675FA"/>
    <w:rsid w:val="00867640"/>
    <w:rsid w:val="008678ED"/>
    <w:rsid w:val="008705B2"/>
    <w:rsid w:val="00870E0A"/>
    <w:rsid w:val="00871AF1"/>
    <w:rsid w:val="00871F1D"/>
    <w:rsid w:val="00873457"/>
    <w:rsid w:val="00874293"/>
    <w:rsid w:val="008750A6"/>
    <w:rsid w:val="00876681"/>
    <w:rsid w:val="008777E7"/>
    <w:rsid w:val="00877921"/>
    <w:rsid w:val="0088158C"/>
    <w:rsid w:val="008828D3"/>
    <w:rsid w:val="00882F50"/>
    <w:rsid w:val="008835D6"/>
    <w:rsid w:val="008844EA"/>
    <w:rsid w:val="008847FE"/>
    <w:rsid w:val="00884BE0"/>
    <w:rsid w:val="00884FDB"/>
    <w:rsid w:val="00885B89"/>
    <w:rsid w:val="0088611F"/>
    <w:rsid w:val="00887997"/>
    <w:rsid w:val="00887FC9"/>
    <w:rsid w:val="008919EF"/>
    <w:rsid w:val="008923CB"/>
    <w:rsid w:val="008959CB"/>
    <w:rsid w:val="00897793"/>
    <w:rsid w:val="008A0301"/>
    <w:rsid w:val="008A0B24"/>
    <w:rsid w:val="008A2771"/>
    <w:rsid w:val="008A4906"/>
    <w:rsid w:val="008A5110"/>
    <w:rsid w:val="008A5CBB"/>
    <w:rsid w:val="008A64FA"/>
    <w:rsid w:val="008A65B8"/>
    <w:rsid w:val="008A7DDD"/>
    <w:rsid w:val="008A7DE2"/>
    <w:rsid w:val="008B0860"/>
    <w:rsid w:val="008B0B24"/>
    <w:rsid w:val="008B16FD"/>
    <w:rsid w:val="008B1A73"/>
    <w:rsid w:val="008B1BB4"/>
    <w:rsid w:val="008B273E"/>
    <w:rsid w:val="008B2DD1"/>
    <w:rsid w:val="008B3040"/>
    <w:rsid w:val="008B3EF5"/>
    <w:rsid w:val="008B5315"/>
    <w:rsid w:val="008B5B80"/>
    <w:rsid w:val="008B6692"/>
    <w:rsid w:val="008B68D7"/>
    <w:rsid w:val="008B7CE7"/>
    <w:rsid w:val="008C0871"/>
    <w:rsid w:val="008C08EC"/>
    <w:rsid w:val="008C1AD1"/>
    <w:rsid w:val="008C2B3A"/>
    <w:rsid w:val="008C33E4"/>
    <w:rsid w:val="008C350F"/>
    <w:rsid w:val="008C38C0"/>
    <w:rsid w:val="008C3AA8"/>
    <w:rsid w:val="008C3F4F"/>
    <w:rsid w:val="008C414B"/>
    <w:rsid w:val="008C4165"/>
    <w:rsid w:val="008C43EE"/>
    <w:rsid w:val="008C44D6"/>
    <w:rsid w:val="008C46BB"/>
    <w:rsid w:val="008C4A20"/>
    <w:rsid w:val="008C5555"/>
    <w:rsid w:val="008C5835"/>
    <w:rsid w:val="008C63AA"/>
    <w:rsid w:val="008C685C"/>
    <w:rsid w:val="008C6F28"/>
    <w:rsid w:val="008C7D55"/>
    <w:rsid w:val="008D1145"/>
    <w:rsid w:val="008D167F"/>
    <w:rsid w:val="008D17DD"/>
    <w:rsid w:val="008D249D"/>
    <w:rsid w:val="008D2F4A"/>
    <w:rsid w:val="008D347B"/>
    <w:rsid w:val="008D44F4"/>
    <w:rsid w:val="008D60C0"/>
    <w:rsid w:val="008D623B"/>
    <w:rsid w:val="008D6875"/>
    <w:rsid w:val="008D6B38"/>
    <w:rsid w:val="008D6BCA"/>
    <w:rsid w:val="008D77F1"/>
    <w:rsid w:val="008D7BD1"/>
    <w:rsid w:val="008E09DB"/>
    <w:rsid w:val="008E0FC3"/>
    <w:rsid w:val="008E1708"/>
    <w:rsid w:val="008E3039"/>
    <w:rsid w:val="008E483F"/>
    <w:rsid w:val="008E4AB8"/>
    <w:rsid w:val="008E569E"/>
    <w:rsid w:val="008E597A"/>
    <w:rsid w:val="008E5984"/>
    <w:rsid w:val="008E64C5"/>
    <w:rsid w:val="008E68AC"/>
    <w:rsid w:val="008E7BD9"/>
    <w:rsid w:val="008F0219"/>
    <w:rsid w:val="008F07BA"/>
    <w:rsid w:val="008F08D9"/>
    <w:rsid w:val="008F1A20"/>
    <w:rsid w:val="008F1EEF"/>
    <w:rsid w:val="008F2280"/>
    <w:rsid w:val="008F3AB6"/>
    <w:rsid w:val="008F40DC"/>
    <w:rsid w:val="008F4125"/>
    <w:rsid w:val="008F412F"/>
    <w:rsid w:val="008F45A3"/>
    <w:rsid w:val="008F4844"/>
    <w:rsid w:val="008F5906"/>
    <w:rsid w:val="008F676C"/>
    <w:rsid w:val="008F719C"/>
    <w:rsid w:val="008F7300"/>
    <w:rsid w:val="008F74FC"/>
    <w:rsid w:val="008F7CD5"/>
    <w:rsid w:val="00900396"/>
    <w:rsid w:val="009005A7"/>
    <w:rsid w:val="00901678"/>
    <w:rsid w:val="009018BC"/>
    <w:rsid w:val="009027B8"/>
    <w:rsid w:val="00902831"/>
    <w:rsid w:val="00903065"/>
    <w:rsid w:val="00903330"/>
    <w:rsid w:val="0090360C"/>
    <w:rsid w:val="009039D7"/>
    <w:rsid w:val="00903DE0"/>
    <w:rsid w:val="00907250"/>
    <w:rsid w:val="00907461"/>
    <w:rsid w:val="00907D11"/>
    <w:rsid w:val="00907D94"/>
    <w:rsid w:val="00910998"/>
    <w:rsid w:val="00911253"/>
    <w:rsid w:val="00911666"/>
    <w:rsid w:val="00911F4B"/>
    <w:rsid w:val="00912841"/>
    <w:rsid w:val="00913B54"/>
    <w:rsid w:val="00913C72"/>
    <w:rsid w:val="00913CEA"/>
    <w:rsid w:val="00913E1A"/>
    <w:rsid w:val="00914672"/>
    <w:rsid w:val="0091469B"/>
    <w:rsid w:val="0091576F"/>
    <w:rsid w:val="00916973"/>
    <w:rsid w:val="00916F77"/>
    <w:rsid w:val="00917CB3"/>
    <w:rsid w:val="00917E04"/>
    <w:rsid w:val="00920043"/>
    <w:rsid w:val="00920C12"/>
    <w:rsid w:val="009221CD"/>
    <w:rsid w:val="009235DE"/>
    <w:rsid w:val="00923D1B"/>
    <w:rsid w:val="00923FA4"/>
    <w:rsid w:val="00924558"/>
    <w:rsid w:val="00925A8B"/>
    <w:rsid w:val="00925F52"/>
    <w:rsid w:val="00926CB5"/>
    <w:rsid w:val="0092726A"/>
    <w:rsid w:val="0092782F"/>
    <w:rsid w:val="00927EDA"/>
    <w:rsid w:val="00930462"/>
    <w:rsid w:val="00930634"/>
    <w:rsid w:val="00931686"/>
    <w:rsid w:val="0093187E"/>
    <w:rsid w:val="009321D2"/>
    <w:rsid w:val="009328F0"/>
    <w:rsid w:val="009338CE"/>
    <w:rsid w:val="009339F7"/>
    <w:rsid w:val="00933D24"/>
    <w:rsid w:val="009341D2"/>
    <w:rsid w:val="00934263"/>
    <w:rsid w:val="0093453B"/>
    <w:rsid w:val="00935238"/>
    <w:rsid w:val="00935479"/>
    <w:rsid w:val="00936358"/>
    <w:rsid w:val="00937695"/>
    <w:rsid w:val="00937C42"/>
    <w:rsid w:val="00937CDC"/>
    <w:rsid w:val="009402B2"/>
    <w:rsid w:val="00940C8B"/>
    <w:rsid w:val="00940EE7"/>
    <w:rsid w:val="009414A4"/>
    <w:rsid w:val="009416B4"/>
    <w:rsid w:val="00941EB1"/>
    <w:rsid w:val="009421CC"/>
    <w:rsid w:val="00943128"/>
    <w:rsid w:val="009439A8"/>
    <w:rsid w:val="00943AB0"/>
    <w:rsid w:val="00943B71"/>
    <w:rsid w:val="0094410E"/>
    <w:rsid w:val="00944669"/>
    <w:rsid w:val="009451D8"/>
    <w:rsid w:val="0094527A"/>
    <w:rsid w:val="009458E0"/>
    <w:rsid w:val="00945B27"/>
    <w:rsid w:val="0094610D"/>
    <w:rsid w:val="00946FDD"/>
    <w:rsid w:val="00950EB7"/>
    <w:rsid w:val="00951BDE"/>
    <w:rsid w:val="00951FE8"/>
    <w:rsid w:val="00952E3C"/>
    <w:rsid w:val="009532EC"/>
    <w:rsid w:val="009535C5"/>
    <w:rsid w:val="00955552"/>
    <w:rsid w:val="00955644"/>
    <w:rsid w:val="00960160"/>
    <w:rsid w:val="0096025C"/>
    <w:rsid w:val="00960359"/>
    <w:rsid w:val="00960EC9"/>
    <w:rsid w:val="00962A76"/>
    <w:rsid w:val="00965530"/>
    <w:rsid w:val="009656D2"/>
    <w:rsid w:val="009668CB"/>
    <w:rsid w:val="0096713E"/>
    <w:rsid w:val="009671F8"/>
    <w:rsid w:val="00967C6F"/>
    <w:rsid w:val="00967FD5"/>
    <w:rsid w:val="00970279"/>
    <w:rsid w:val="00971B4D"/>
    <w:rsid w:val="00971F91"/>
    <w:rsid w:val="009732F6"/>
    <w:rsid w:val="00973CF0"/>
    <w:rsid w:val="0097562F"/>
    <w:rsid w:val="00975707"/>
    <w:rsid w:val="00975A0F"/>
    <w:rsid w:val="009763F9"/>
    <w:rsid w:val="00976A3B"/>
    <w:rsid w:val="00977E5E"/>
    <w:rsid w:val="00980F82"/>
    <w:rsid w:val="00981B96"/>
    <w:rsid w:val="00981E5A"/>
    <w:rsid w:val="00982F3E"/>
    <w:rsid w:val="0098382A"/>
    <w:rsid w:val="00983886"/>
    <w:rsid w:val="00984D5F"/>
    <w:rsid w:val="00984FD5"/>
    <w:rsid w:val="00985482"/>
    <w:rsid w:val="0098790B"/>
    <w:rsid w:val="00987BC5"/>
    <w:rsid w:val="009908EB"/>
    <w:rsid w:val="00991510"/>
    <w:rsid w:val="00991B89"/>
    <w:rsid w:val="009920CF"/>
    <w:rsid w:val="009946AE"/>
    <w:rsid w:val="0099527A"/>
    <w:rsid w:val="00995924"/>
    <w:rsid w:val="009962A0"/>
    <w:rsid w:val="009963A8"/>
    <w:rsid w:val="009963DC"/>
    <w:rsid w:val="009A0BBC"/>
    <w:rsid w:val="009A0E7F"/>
    <w:rsid w:val="009A1B30"/>
    <w:rsid w:val="009A1FED"/>
    <w:rsid w:val="009A28CF"/>
    <w:rsid w:val="009A3618"/>
    <w:rsid w:val="009A459C"/>
    <w:rsid w:val="009A641A"/>
    <w:rsid w:val="009A68B3"/>
    <w:rsid w:val="009A7630"/>
    <w:rsid w:val="009B204A"/>
    <w:rsid w:val="009B3323"/>
    <w:rsid w:val="009B3352"/>
    <w:rsid w:val="009B4B1F"/>
    <w:rsid w:val="009B6075"/>
    <w:rsid w:val="009B6A73"/>
    <w:rsid w:val="009B79C4"/>
    <w:rsid w:val="009C053B"/>
    <w:rsid w:val="009C0666"/>
    <w:rsid w:val="009C1950"/>
    <w:rsid w:val="009C1E35"/>
    <w:rsid w:val="009C2572"/>
    <w:rsid w:val="009C2768"/>
    <w:rsid w:val="009C312B"/>
    <w:rsid w:val="009C317E"/>
    <w:rsid w:val="009C3BD8"/>
    <w:rsid w:val="009C4369"/>
    <w:rsid w:val="009C568D"/>
    <w:rsid w:val="009C5A5B"/>
    <w:rsid w:val="009C6926"/>
    <w:rsid w:val="009C7AF9"/>
    <w:rsid w:val="009D0C9A"/>
    <w:rsid w:val="009D1431"/>
    <w:rsid w:val="009D2597"/>
    <w:rsid w:val="009D291B"/>
    <w:rsid w:val="009D2ABB"/>
    <w:rsid w:val="009D375A"/>
    <w:rsid w:val="009D3E43"/>
    <w:rsid w:val="009D5615"/>
    <w:rsid w:val="009D6461"/>
    <w:rsid w:val="009D6AE2"/>
    <w:rsid w:val="009D7CC3"/>
    <w:rsid w:val="009E0BD9"/>
    <w:rsid w:val="009E1C66"/>
    <w:rsid w:val="009E2417"/>
    <w:rsid w:val="009E27B7"/>
    <w:rsid w:val="009E30D5"/>
    <w:rsid w:val="009E4849"/>
    <w:rsid w:val="009E5597"/>
    <w:rsid w:val="009E5C8A"/>
    <w:rsid w:val="009E5EE9"/>
    <w:rsid w:val="009E6078"/>
    <w:rsid w:val="009E6EF5"/>
    <w:rsid w:val="009E7BC8"/>
    <w:rsid w:val="009F2078"/>
    <w:rsid w:val="009F2597"/>
    <w:rsid w:val="009F263A"/>
    <w:rsid w:val="009F3CBB"/>
    <w:rsid w:val="009F3EC7"/>
    <w:rsid w:val="009F3F98"/>
    <w:rsid w:val="009F42C6"/>
    <w:rsid w:val="009F51E9"/>
    <w:rsid w:val="009F610E"/>
    <w:rsid w:val="009F6546"/>
    <w:rsid w:val="009F79D0"/>
    <w:rsid w:val="009F7A82"/>
    <w:rsid w:val="009F7ABA"/>
    <w:rsid w:val="00A00126"/>
    <w:rsid w:val="00A00CE2"/>
    <w:rsid w:val="00A01234"/>
    <w:rsid w:val="00A015A9"/>
    <w:rsid w:val="00A02128"/>
    <w:rsid w:val="00A02363"/>
    <w:rsid w:val="00A0273E"/>
    <w:rsid w:val="00A0319C"/>
    <w:rsid w:val="00A045DB"/>
    <w:rsid w:val="00A04A74"/>
    <w:rsid w:val="00A04B31"/>
    <w:rsid w:val="00A04E33"/>
    <w:rsid w:val="00A05B45"/>
    <w:rsid w:val="00A05E9C"/>
    <w:rsid w:val="00A0621A"/>
    <w:rsid w:val="00A07969"/>
    <w:rsid w:val="00A10616"/>
    <w:rsid w:val="00A11429"/>
    <w:rsid w:val="00A116FF"/>
    <w:rsid w:val="00A11ED4"/>
    <w:rsid w:val="00A12FA6"/>
    <w:rsid w:val="00A131D3"/>
    <w:rsid w:val="00A132B7"/>
    <w:rsid w:val="00A14974"/>
    <w:rsid w:val="00A14997"/>
    <w:rsid w:val="00A16DFF"/>
    <w:rsid w:val="00A202E7"/>
    <w:rsid w:val="00A20A97"/>
    <w:rsid w:val="00A2237E"/>
    <w:rsid w:val="00A226B8"/>
    <w:rsid w:val="00A2340A"/>
    <w:rsid w:val="00A23B3E"/>
    <w:rsid w:val="00A242A1"/>
    <w:rsid w:val="00A25159"/>
    <w:rsid w:val="00A25372"/>
    <w:rsid w:val="00A2642D"/>
    <w:rsid w:val="00A2680E"/>
    <w:rsid w:val="00A26838"/>
    <w:rsid w:val="00A26DB7"/>
    <w:rsid w:val="00A2762A"/>
    <w:rsid w:val="00A2786A"/>
    <w:rsid w:val="00A30014"/>
    <w:rsid w:val="00A30259"/>
    <w:rsid w:val="00A30351"/>
    <w:rsid w:val="00A31107"/>
    <w:rsid w:val="00A3135E"/>
    <w:rsid w:val="00A314D2"/>
    <w:rsid w:val="00A3190E"/>
    <w:rsid w:val="00A3192D"/>
    <w:rsid w:val="00A32105"/>
    <w:rsid w:val="00A3220F"/>
    <w:rsid w:val="00A33386"/>
    <w:rsid w:val="00A33D1A"/>
    <w:rsid w:val="00A3438A"/>
    <w:rsid w:val="00A347BC"/>
    <w:rsid w:val="00A34FDD"/>
    <w:rsid w:val="00A354EB"/>
    <w:rsid w:val="00A35517"/>
    <w:rsid w:val="00A35A44"/>
    <w:rsid w:val="00A35AFC"/>
    <w:rsid w:val="00A37242"/>
    <w:rsid w:val="00A3775E"/>
    <w:rsid w:val="00A410C9"/>
    <w:rsid w:val="00A4115A"/>
    <w:rsid w:val="00A42273"/>
    <w:rsid w:val="00A424F7"/>
    <w:rsid w:val="00A4288E"/>
    <w:rsid w:val="00A4291C"/>
    <w:rsid w:val="00A44213"/>
    <w:rsid w:val="00A44BAD"/>
    <w:rsid w:val="00A44C1F"/>
    <w:rsid w:val="00A44C32"/>
    <w:rsid w:val="00A44E25"/>
    <w:rsid w:val="00A46A55"/>
    <w:rsid w:val="00A47643"/>
    <w:rsid w:val="00A478B3"/>
    <w:rsid w:val="00A50160"/>
    <w:rsid w:val="00A508C1"/>
    <w:rsid w:val="00A509B1"/>
    <w:rsid w:val="00A50EC1"/>
    <w:rsid w:val="00A5130E"/>
    <w:rsid w:val="00A53784"/>
    <w:rsid w:val="00A549B0"/>
    <w:rsid w:val="00A55EA7"/>
    <w:rsid w:val="00A561B7"/>
    <w:rsid w:val="00A5658B"/>
    <w:rsid w:val="00A56601"/>
    <w:rsid w:val="00A574C0"/>
    <w:rsid w:val="00A574C4"/>
    <w:rsid w:val="00A602E0"/>
    <w:rsid w:val="00A61CC8"/>
    <w:rsid w:val="00A63236"/>
    <w:rsid w:val="00A634F6"/>
    <w:rsid w:val="00A6371D"/>
    <w:rsid w:val="00A63A34"/>
    <w:rsid w:val="00A64A16"/>
    <w:rsid w:val="00A65D6D"/>
    <w:rsid w:val="00A65DEE"/>
    <w:rsid w:val="00A66349"/>
    <w:rsid w:val="00A663F6"/>
    <w:rsid w:val="00A66410"/>
    <w:rsid w:val="00A6648A"/>
    <w:rsid w:val="00A67F57"/>
    <w:rsid w:val="00A70962"/>
    <w:rsid w:val="00A72769"/>
    <w:rsid w:val="00A72B59"/>
    <w:rsid w:val="00A735D3"/>
    <w:rsid w:val="00A73E73"/>
    <w:rsid w:val="00A74510"/>
    <w:rsid w:val="00A75233"/>
    <w:rsid w:val="00A753ED"/>
    <w:rsid w:val="00A7687F"/>
    <w:rsid w:val="00A76E54"/>
    <w:rsid w:val="00A771B7"/>
    <w:rsid w:val="00A77FC2"/>
    <w:rsid w:val="00A809DB"/>
    <w:rsid w:val="00A8119B"/>
    <w:rsid w:val="00A8166A"/>
    <w:rsid w:val="00A81BF7"/>
    <w:rsid w:val="00A824E8"/>
    <w:rsid w:val="00A829AF"/>
    <w:rsid w:val="00A82CF8"/>
    <w:rsid w:val="00A830AA"/>
    <w:rsid w:val="00A83159"/>
    <w:rsid w:val="00A84CE8"/>
    <w:rsid w:val="00A85394"/>
    <w:rsid w:val="00A859DD"/>
    <w:rsid w:val="00A85F0E"/>
    <w:rsid w:val="00A87413"/>
    <w:rsid w:val="00A875B2"/>
    <w:rsid w:val="00A87629"/>
    <w:rsid w:val="00A8798B"/>
    <w:rsid w:val="00A87DC2"/>
    <w:rsid w:val="00A902C7"/>
    <w:rsid w:val="00A905C0"/>
    <w:rsid w:val="00A91548"/>
    <w:rsid w:val="00A9265F"/>
    <w:rsid w:val="00A92823"/>
    <w:rsid w:val="00A93D9E"/>
    <w:rsid w:val="00A93FAF"/>
    <w:rsid w:val="00A94244"/>
    <w:rsid w:val="00A94B12"/>
    <w:rsid w:val="00A94BCC"/>
    <w:rsid w:val="00A94C76"/>
    <w:rsid w:val="00A96553"/>
    <w:rsid w:val="00A967EA"/>
    <w:rsid w:val="00A97933"/>
    <w:rsid w:val="00AA0C83"/>
    <w:rsid w:val="00AA1DB6"/>
    <w:rsid w:val="00AA2052"/>
    <w:rsid w:val="00AA4461"/>
    <w:rsid w:val="00AA45F0"/>
    <w:rsid w:val="00AA5533"/>
    <w:rsid w:val="00AA68F1"/>
    <w:rsid w:val="00AA6CB2"/>
    <w:rsid w:val="00AA7128"/>
    <w:rsid w:val="00AA7583"/>
    <w:rsid w:val="00AA762A"/>
    <w:rsid w:val="00AB0344"/>
    <w:rsid w:val="00AB0AC4"/>
    <w:rsid w:val="00AB0BF1"/>
    <w:rsid w:val="00AB2AE3"/>
    <w:rsid w:val="00AB32AA"/>
    <w:rsid w:val="00AB3E96"/>
    <w:rsid w:val="00AB4D32"/>
    <w:rsid w:val="00AB6331"/>
    <w:rsid w:val="00AB65D7"/>
    <w:rsid w:val="00AB6A30"/>
    <w:rsid w:val="00AB72E4"/>
    <w:rsid w:val="00AB7DF6"/>
    <w:rsid w:val="00AC06E9"/>
    <w:rsid w:val="00AC094C"/>
    <w:rsid w:val="00AC1BB0"/>
    <w:rsid w:val="00AC3A0A"/>
    <w:rsid w:val="00AC3C58"/>
    <w:rsid w:val="00AC4574"/>
    <w:rsid w:val="00AC492A"/>
    <w:rsid w:val="00AC4A93"/>
    <w:rsid w:val="00AC4AED"/>
    <w:rsid w:val="00AC4CB3"/>
    <w:rsid w:val="00AC5CD5"/>
    <w:rsid w:val="00AC713E"/>
    <w:rsid w:val="00AC71C7"/>
    <w:rsid w:val="00AC72B9"/>
    <w:rsid w:val="00AC74CA"/>
    <w:rsid w:val="00AC7A14"/>
    <w:rsid w:val="00AC7A7D"/>
    <w:rsid w:val="00AD0C57"/>
    <w:rsid w:val="00AD26BD"/>
    <w:rsid w:val="00AD2AD2"/>
    <w:rsid w:val="00AD3376"/>
    <w:rsid w:val="00AD3FD2"/>
    <w:rsid w:val="00AD4B35"/>
    <w:rsid w:val="00AD4CE8"/>
    <w:rsid w:val="00AD4D09"/>
    <w:rsid w:val="00AD5A75"/>
    <w:rsid w:val="00AD5C74"/>
    <w:rsid w:val="00AD5D44"/>
    <w:rsid w:val="00AD5E8B"/>
    <w:rsid w:val="00AD668D"/>
    <w:rsid w:val="00AD75D8"/>
    <w:rsid w:val="00AD79E6"/>
    <w:rsid w:val="00AD7CAA"/>
    <w:rsid w:val="00AD7D53"/>
    <w:rsid w:val="00AE034A"/>
    <w:rsid w:val="00AE1CAD"/>
    <w:rsid w:val="00AE1D9F"/>
    <w:rsid w:val="00AE2138"/>
    <w:rsid w:val="00AE2F7D"/>
    <w:rsid w:val="00AE408B"/>
    <w:rsid w:val="00AE4714"/>
    <w:rsid w:val="00AE541E"/>
    <w:rsid w:val="00AE56B4"/>
    <w:rsid w:val="00AE576F"/>
    <w:rsid w:val="00AE5AA3"/>
    <w:rsid w:val="00AE60D3"/>
    <w:rsid w:val="00AE68C9"/>
    <w:rsid w:val="00AE6BB0"/>
    <w:rsid w:val="00AE6DB0"/>
    <w:rsid w:val="00AE78D4"/>
    <w:rsid w:val="00AE7F7C"/>
    <w:rsid w:val="00AF1A2C"/>
    <w:rsid w:val="00AF25C9"/>
    <w:rsid w:val="00AF66F9"/>
    <w:rsid w:val="00AF7A39"/>
    <w:rsid w:val="00AF7BEE"/>
    <w:rsid w:val="00B00099"/>
    <w:rsid w:val="00B006B8"/>
    <w:rsid w:val="00B00C08"/>
    <w:rsid w:val="00B01571"/>
    <w:rsid w:val="00B01B84"/>
    <w:rsid w:val="00B01D75"/>
    <w:rsid w:val="00B01F3C"/>
    <w:rsid w:val="00B02111"/>
    <w:rsid w:val="00B021CC"/>
    <w:rsid w:val="00B026D5"/>
    <w:rsid w:val="00B0276E"/>
    <w:rsid w:val="00B03ECE"/>
    <w:rsid w:val="00B04AF3"/>
    <w:rsid w:val="00B0506B"/>
    <w:rsid w:val="00B0508A"/>
    <w:rsid w:val="00B05435"/>
    <w:rsid w:val="00B05634"/>
    <w:rsid w:val="00B05DCD"/>
    <w:rsid w:val="00B06DAD"/>
    <w:rsid w:val="00B0712C"/>
    <w:rsid w:val="00B07416"/>
    <w:rsid w:val="00B07E7E"/>
    <w:rsid w:val="00B10140"/>
    <w:rsid w:val="00B102D1"/>
    <w:rsid w:val="00B108E2"/>
    <w:rsid w:val="00B11559"/>
    <w:rsid w:val="00B1175E"/>
    <w:rsid w:val="00B1183F"/>
    <w:rsid w:val="00B1240E"/>
    <w:rsid w:val="00B129AA"/>
    <w:rsid w:val="00B14D19"/>
    <w:rsid w:val="00B15274"/>
    <w:rsid w:val="00B15F6A"/>
    <w:rsid w:val="00B16FA2"/>
    <w:rsid w:val="00B17A6A"/>
    <w:rsid w:val="00B20E47"/>
    <w:rsid w:val="00B2280F"/>
    <w:rsid w:val="00B24511"/>
    <w:rsid w:val="00B256A5"/>
    <w:rsid w:val="00B25984"/>
    <w:rsid w:val="00B25A26"/>
    <w:rsid w:val="00B26A67"/>
    <w:rsid w:val="00B27118"/>
    <w:rsid w:val="00B279EC"/>
    <w:rsid w:val="00B27FFC"/>
    <w:rsid w:val="00B309DC"/>
    <w:rsid w:val="00B325D6"/>
    <w:rsid w:val="00B32EA7"/>
    <w:rsid w:val="00B343C4"/>
    <w:rsid w:val="00B34DAB"/>
    <w:rsid w:val="00B355F5"/>
    <w:rsid w:val="00B376A6"/>
    <w:rsid w:val="00B37D43"/>
    <w:rsid w:val="00B401B7"/>
    <w:rsid w:val="00B40F86"/>
    <w:rsid w:val="00B40FB7"/>
    <w:rsid w:val="00B42AC2"/>
    <w:rsid w:val="00B42FA9"/>
    <w:rsid w:val="00B4325D"/>
    <w:rsid w:val="00B43D2E"/>
    <w:rsid w:val="00B4403C"/>
    <w:rsid w:val="00B4423A"/>
    <w:rsid w:val="00B449E0"/>
    <w:rsid w:val="00B44C9C"/>
    <w:rsid w:val="00B44CAB"/>
    <w:rsid w:val="00B462EE"/>
    <w:rsid w:val="00B466BB"/>
    <w:rsid w:val="00B46BB0"/>
    <w:rsid w:val="00B46BF6"/>
    <w:rsid w:val="00B47174"/>
    <w:rsid w:val="00B51123"/>
    <w:rsid w:val="00B5219C"/>
    <w:rsid w:val="00B5278A"/>
    <w:rsid w:val="00B52BB5"/>
    <w:rsid w:val="00B52BE4"/>
    <w:rsid w:val="00B52CC3"/>
    <w:rsid w:val="00B53418"/>
    <w:rsid w:val="00B53E5E"/>
    <w:rsid w:val="00B541E3"/>
    <w:rsid w:val="00B54597"/>
    <w:rsid w:val="00B54A5A"/>
    <w:rsid w:val="00B54FE2"/>
    <w:rsid w:val="00B554F3"/>
    <w:rsid w:val="00B5671A"/>
    <w:rsid w:val="00B567CC"/>
    <w:rsid w:val="00B56B5E"/>
    <w:rsid w:val="00B56BFA"/>
    <w:rsid w:val="00B5769E"/>
    <w:rsid w:val="00B57E40"/>
    <w:rsid w:val="00B607C7"/>
    <w:rsid w:val="00B609E2"/>
    <w:rsid w:val="00B60A71"/>
    <w:rsid w:val="00B60AD0"/>
    <w:rsid w:val="00B60D1E"/>
    <w:rsid w:val="00B60F3E"/>
    <w:rsid w:val="00B62544"/>
    <w:rsid w:val="00B63AE7"/>
    <w:rsid w:val="00B63C61"/>
    <w:rsid w:val="00B64BA6"/>
    <w:rsid w:val="00B65333"/>
    <w:rsid w:val="00B670FC"/>
    <w:rsid w:val="00B67C7A"/>
    <w:rsid w:val="00B70656"/>
    <w:rsid w:val="00B70660"/>
    <w:rsid w:val="00B71FA6"/>
    <w:rsid w:val="00B72E70"/>
    <w:rsid w:val="00B7424A"/>
    <w:rsid w:val="00B7678D"/>
    <w:rsid w:val="00B805E2"/>
    <w:rsid w:val="00B8079D"/>
    <w:rsid w:val="00B80A51"/>
    <w:rsid w:val="00B80BBB"/>
    <w:rsid w:val="00B80BF3"/>
    <w:rsid w:val="00B8195F"/>
    <w:rsid w:val="00B81EEE"/>
    <w:rsid w:val="00B82528"/>
    <w:rsid w:val="00B82AD2"/>
    <w:rsid w:val="00B83752"/>
    <w:rsid w:val="00B83841"/>
    <w:rsid w:val="00B851EC"/>
    <w:rsid w:val="00B8561C"/>
    <w:rsid w:val="00B86E96"/>
    <w:rsid w:val="00B9185E"/>
    <w:rsid w:val="00B91F81"/>
    <w:rsid w:val="00B923F4"/>
    <w:rsid w:val="00B929D8"/>
    <w:rsid w:val="00B92E8D"/>
    <w:rsid w:val="00B94E1C"/>
    <w:rsid w:val="00B94E52"/>
    <w:rsid w:val="00B960DF"/>
    <w:rsid w:val="00B965B1"/>
    <w:rsid w:val="00B9690A"/>
    <w:rsid w:val="00B973F0"/>
    <w:rsid w:val="00B976FB"/>
    <w:rsid w:val="00B97FF9"/>
    <w:rsid w:val="00BA15D6"/>
    <w:rsid w:val="00BA1D44"/>
    <w:rsid w:val="00BA24F7"/>
    <w:rsid w:val="00BA2A68"/>
    <w:rsid w:val="00BA31F8"/>
    <w:rsid w:val="00BA36DC"/>
    <w:rsid w:val="00BA3F61"/>
    <w:rsid w:val="00BA5329"/>
    <w:rsid w:val="00BA5461"/>
    <w:rsid w:val="00BA6011"/>
    <w:rsid w:val="00BA72DD"/>
    <w:rsid w:val="00BA7DAC"/>
    <w:rsid w:val="00BB0B30"/>
    <w:rsid w:val="00BB0E4A"/>
    <w:rsid w:val="00BB115F"/>
    <w:rsid w:val="00BB241D"/>
    <w:rsid w:val="00BB26EA"/>
    <w:rsid w:val="00BB35E1"/>
    <w:rsid w:val="00BB462D"/>
    <w:rsid w:val="00BB4858"/>
    <w:rsid w:val="00BB65B0"/>
    <w:rsid w:val="00BB7D49"/>
    <w:rsid w:val="00BC0647"/>
    <w:rsid w:val="00BC2315"/>
    <w:rsid w:val="00BC298D"/>
    <w:rsid w:val="00BC398A"/>
    <w:rsid w:val="00BC3A7A"/>
    <w:rsid w:val="00BC3C88"/>
    <w:rsid w:val="00BC3DE3"/>
    <w:rsid w:val="00BC4095"/>
    <w:rsid w:val="00BC4DDD"/>
    <w:rsid w:val="00BC5262"/>
    <w:rsid w:val="00BC5E31"/>
    <w:rsid w:val="00BC70DF"/>
    <w:rsid w:val="00BC7446"/>
    <w:rsid w:val="00BC7887"/>
    <w:rsid w:val="00BC7DE8"/>
    <w:rsid w:val="00BD1AC8"/>
    <w:rsid w:val="00BD2358"/>
    <w:rsid w:val="00BD39EF"/>
    <w:rsid w:val="00BD3A41"/>
    <w:rsid w:val="00BD3D9E"/>
    <w:rsid w:val="00BD432D"/>
    <w:rsid w:val="00BD4589"/>
    <w:rsid w:val="00BD47F4"/>
    <w:rsid w:val="00BD4B34"/>
    <w:rsid w:val="00BD5584"/>
    <w:rsid w:val="00BD5A66"/>
    <w:rsid w:val="00BD5B2E"/>
    <w:rsid w:val="00BD6AE1"/>
    <w:rsid w:val="00BD7862"/>
    <w:rsid w:val="00BD7C64"/>
    <w:rsid w:val="00BD7EAA"/>
    <w:rsid w:val="00BD7F51"/>
    <w:rsid w:val="00BE029D"/>
    <w:rsid w:val="00BE0CFC"/>
    <w:rsid w:val="00BE15DE"/>
    <w:rsid w:val="00BE1EC1"/>
    <w:rsid w:val="00BE2857"/>
    <w:rsid w:val="00BE46A3"/>
    <w:rsid w:val="00BE5337"/>
    <w:rsid w:val="00BE566E"/>
    <w:rsid w:val="00BE5CAB"/>
    <w:rsid w:val="00BE5DA6"/>
    <w:rsid w:val="00BE5DDA"/>
    <w:rsid w:val="00BE6DFD"/>
    <w:rsid w:val="00BE7D23"/>
    <w:rsid w:val="00BE7D76"/>
    <w:rsid w:val="00BE7EBD"/>
    <w:rsid w:val="00BF0A00"/>
    <w:rsid w:val="00BF27B7"/>
    <w:rsid w:val="00BF2BD7"/>
    <w:rsid w:val="00BF30E4"/>
    <w:rsid w:val="00BF30EA"/>
    <w:rsid w:val="00BF43CA"/>
    <w:rsid w:val="00BF4410"/>
    <w:rsid w:val="00BF4DFA"/>
    <w:rsid w:val="00BF6EB7"/>
    <w:rsid w:val="00BF74DD"/>
    <w:rsid w:val="00BF7AC8"/>
    <w:rsid w:val="00BF7BB5"/>
    <w:rsid w:val="00C00DEE"/>
    <w:rsid w:val="00C017D5"/>
    <w:rsid w:val="00C01FA6"/>
    <w:rsid w:val="00C020BB"/>
    <w:rsid w:val="00C030E2"/>
    <w:rsid w:val="00C03253"/>
    <w:rsid w:val="00C0358B"/>
    <w:rsid w:val="00C0388B"/>
    <w:rsid w:val="00C03DEB"/>
    <w:rsid w:val="00C040F9"/>
    <w:rsid w:val="00C04309"/>
    <w:rsid w:val="00C044E3"/>
    <w:rsid w:val="00C05361"/>
    <w:rsid w:val="00C07B04"/>
    <w:rsid w:val="00C1095D"/>
    <w:rsid w:val="00C113C6"/>
    <w:rsid w:val="00C117B6"/>
    <w:rsid w:val="00C121A7"/>
    <w:rsid w:val="00C13001"/>
    <w:rsid w:val="00C145AA"/>
    <w:rsid w:val="00C15661"/>
    <w:rsid w:val="00C15763"/>
    <w:rsid w:val="00C171EE"/>
    <w:rsid w:val="00C172E0"/>
    <w:rsid w:val="00C179DC"/>
    <w:rsid w:val="00C17C10"/>
    <w:rsid w:val="00C20088"/>
    <w:rsid w:val="00C20580"/>
    <w:rsid w:val="00C206DB"/>
    <w:rsid w:val="00C216D0"/>
    <w:rsid w:val="00C219AE"/>
    <w:rsid w:val="00C21A29"/>
    <w:rsid w:val="00C221FC"/>
    <w:rsid w:val="00C22326"/>
    <w:rsid w:val="00C22477"/>
    <w:rsid w:val="00C2359F"/>
    <w:rsid w:val="00C236CC"/>
    <w:rsid w:val="00C23C19"/>
    <w:rsid w:val="00C23D36"/>
    <w:rsid w:val="00C25C06"/>
    <w:rsid w:val="00C2678D"/>
    <w:rsid w:val="00C26BAC"/>
    <w:rsid w:val="00C278A5"/>
    <w:rsid w:val="00C301E8"/>
    <w:rsid w:val="00C32295"/>
    <w:rsid w:val="00C324FD"/>
    <w:rsid w:val="00C3252E"/>
    <w:rsid w:val="00C32C44"/>
    <w:rsid w:val="00C33506"/>
    <w:rsid w:val="00C335F0"/>
    <w:rsid w:val="00C35F84"/>
    <w:rsid w:val="00C36727"/>
    <w:rsid w:val="00C36987"/>
    <w:rsid w:val="00C3744C"/>
    <w:rsid w:val="00C4018E"/>
    <w:rsid w:val="00C40CD0"/>
    <w:rsid w:val="00C416B8"/>
    <w:rsid w:val="00C41716"/>
    <w:rsid w:val="00C420E2"/>
    <w:rsid w:val="00C4298B"/>
    <w:rsid w:val="00C437BC"/>
    <w:rsid w:val="00C43AB9"/>
    <w:rsid w:val="00C4465D"/>
    <w:rsid w:val="00C45768"/>
    <w:rsid w:val="00C461B9"/>
    <w:rsid w:val="00C4668E"/>
    <w:rsid w:val="00C4731F"/>
    <w:rsid w:val="00C50BF0"/>
    <w:rsid w:val="00C50C6B"/>
    <w:rsid w:val="00C518BB"/>
    <w:rsid w:val="00C523F6"/>
    <w:rsid w:val="00C52A01"/>
    <w:rsid w:val="00C533D5"/>
    <w:rsid w:val="00C534D2"/>
    <w:rsid w:val="00C534EC"/>
    <w:rsid w:val="00C535E0"/>
    <w:rsid w:val="00C53F6A"/>
    <w:rsid w:val="00C54EE9"/>
    <w:rsid w:val="00C55490"/>
    <w:rsid w:val="00C55509"/>
    <w:rsid w:val="00C55FBF"/>
    <w:rsid w:val="00C56BC4"/>
    <w:rsid w:val="00C618B8"/>
    <w:rsid w:val="00C619C1"/>
    <w:rsid w:val="00C61F49"/>
    <w:rsid w:val="00C62C98"/>
    <w:rsid w:val="00C632E1"/>
    <w:rsid w:val="00C63B3A"/>
    <w:rsid w:val="00C63C7E"/>
    <w:rsid w:val="00C655A6"/>
    <w:rsid w:val="00C66612"/>
    <w:rsid w:val="00C668B7"/>
    <w:rsid w:val="00C66910"/>
    <w:rsid w:val="00C66934"/>
    <w:rsid w:val="00C66DC5"/>
    <w:rsid w:val="00C67858"/>
    <w:rsid w:val="00C67A6C"/>
    <w:rsid w:val="00C67E6F"/>
    <w:rsid w:val="00C70199"/>
    <w:rsid w:val="00C70C0D"/>
    <w:rsid w:val="00C70D12"/>
    <w:rsid w:val="00C72442"/>
    <w:rsid w:val="00C72866"/>
    <w:rsid w:val="00C72A39"/>
    <w:rsid w:val="00C73737"/>
    <w:rsid w:val="00C7404C"/>
    <w:rsid w:val="00C77D75"/>
    <w:rsid w:val="00C80320"/>
    <w:rsid w:val="00C807E4"/>
    <w:rsid w:val="00C80DA7"/>
    <w:rsid w:val="00C818E2"/>
    <w:rsid w:val="00C81EAE"/>
    <w:rsid w:val="00C82F89"/>
    <w:rsid w:val="00C859C4"/>
    <w:rsid w:val="00C8631C"/>
    <w:rsid w:val="00C8692D"/>
    <w:rsid w:val="00C90514"/>
    <w:rsid w:val="00C93195"/>
    <w:rsid w:val="00C932E9"/>
    <w:rsid w:val="00C950A0"/>
    <w:rsid w:val="00C95104"/>
    <w:rsid w:val="00C955F6"/>
    <w:rsid w:val="00C96716"/>
    <w:rsid w:val="00C97A9D"/>
    <w:rsid w:val="00CA261A"/>
    <w:rsid w:val="00CA27C2"/>
    <w:rsid w:val="00CA3547"/>
    <w:rsid w:val="00CA3BDC"/>
    <w:rsid w:val="00CA4574"/>
    <w:rsid w:val="00CA4CE3"/>
    <w:rsid w:val="00CA5282"/>
    <w:rsid w:val="00CA5EFA"/>
    <w:rsid w:val="00CB07D7"/>
    <w:rsid w:val="00CB0A51"/>
    <w:rsid w:val="00CB1EBA"/>
    <w:rsid w:val="00CB2A88"/>
    <w:rsid w:val="00CB30B0"/>
    <w:rsid w:val="00CB32B4"/>
    <w:rsid w:val="00CB51E6"/>
    <w:rsid w:val="00CB5426"/>
    <w:rsid w:val="00CB6241"/>
    <w:rsid w:val="00CB728B"/>
    <w:rsid w:val="00CC0315"/>
    <w:rsid w:val="00CC070F"/>
    <w:rsid w:val="00CC10B9"/>
    <w:rsid w:val="00CC19C7"/>
    <w:rsid w:val="00CC1A31"/>
    <w:rsid w:val="00CC1E6F"/>
    <w:rsid w:val="00CC2C7F"/>
    <w:rsid w:val="00CC33FB"/>
    <w:rsid w:val="00CC3779"/>
    <w:rsid w:val="00CC404C"/>
    <w:rsid w:val="00CC40D9"/>
    <w:rsid w:val="00CC4CA1"/>
    <w:rsid w:val="00CC66C1"/>
    <w:rsid w:val="00CC6A94"/>
    <w:rsid w:val="00CC7099"/>
    <w:rsid w:val="00CC79FD"/>
    <w:rsid w:val="00CD0051"/>
    <w:rsid w:val="00CD1BFA"/>
    <w:rsid w:val="00CD1C61"/>
    <w:rsid w:val="00CD205F"/>
    <w:rsid w:val="00CD24BA"/>
    <w:rsid w:val="00CD2A4F"/>
    <w:rsid w:val="00CD378A"/>
    <w:rsid w:val="00CD4234"/>
    <w:rsid w:val="00CD4441"/>
    <w:rsid w:val="00CD47E4"/>
    <w:rsid w:val="00CD57C5"/>
    <w:rsid w:val="00CD57F6"/>
    <w:rsid w:val="00CD59DD"/>
    <w:rsid w:val="00CD5AD7"/>
    <w:rsid w:val="00CD6613"/>
    <w:rsid w:val="00CD69C9"/>
    <w:rsid w:val="00CD77FF"/>
    <w:rsid w:val="00CD78B9"/>
    <w:rsid w:val="00CE038D"/>
    <w:rsid w:val="00CE071C"/>
    <w:rsid w:val="00CE09C7"/>
    <w:rsid w:val="00CE146E"/>
    <w:rsid w:val="00CE1C23"/>
    <w:rsid w:val="00CE2655"/>
    <w:rsid w:val="00CE32F9"/>
    <w:rsid w:val="00CE4500"/>
    <w:rsid w:val="00CE4933"/>
    <w:rsid w:val="00CE5093"/>
    <w:rsid w:val="00CE5834"/>
    <w:rsid w:val="00CE6070"/>
    <w:rsid w:val="00CE64A4"/>
    <w:rsid w:val="00CE6F3D"/>
    <w:rsid w:val="00CE7821"/>
    <w:rsid w:val="00CE7F4C"/>
    <w:rsid w:val="00CF065E"/>
    <w:rsid w:val="00CF0BB9"/>
    <w:rsid w:val="00CF0EEE"/>
    <w:rsid w:val="00CF146E"/>
    <w:rsid w:val="00CF2DBD"/>
    <w:rsid w:val="00CF530E"/>
    <w:rsid w:val="00CF550B"/>
    <w:rsid w:val="00CF5806"/>
    <w:rsid w:val="00CF719E"/>
    <w:rsid w:val="00CF76C5"/>
    <w:rsid w:val="00D00634"/>
    <w:rsid w:val="00D01480"/>
    <w:rsid w:val="00D0244F"/>
    <w:rsid w:val="00D02ADE"/>
    <w:rsid w:val="00D038D0"/>
    <w:rsid w:val="00D05BE9"/>
    <w:rsid w:val="00D073DF"/>
    <w:rsid w:val="00D078B6"/>
    <w:rsid w:val="00D10763"/>
    <w:rsid w:val="00D11D41"/>
    <w:rsid w:val="00D11E96"/>
    <w:rsid w:val="00D12AEA"/>
    <w:rsid w:val="00D12BDA"/>
    <w:rsid w:val="00D165C3"/>
    <w:rsid w:val="00D16A92"/>
    <w:rsid w:val="00D17CA9"/>
    <w:rsid w:val="00D17D21"/>
    <w:rsid w:val="00D2024B"/>
    <w:rsid w:val="00D20899"/>
    <w:rsid w:val="00D21BC0"/>
    <w:rsid w:val="00D224E8"/>
    <w:rsid w:val="00D22D96"/>
    <w:rsid w:val="00D23B76"/>
    <w:rsid w:val="00D241F6"/>
    <w:rsid w:val="00D244AE"/>
    <w:rsid w:val="00D252E0"/>
    <w:rsid w:val="00D25D71"/>
    <w:rsid w:val="00D262E5"/>
    <w:rsid w:val="00D2687C"/>
    <w:rsid w:val="00D279E3"/>
    <w:rsid w:val="00D309CD"/>
    <w:rsid w:val="00D30ED3"/>
    <w:rsid w:val="00D31429"/>
    <w:rsid w:val="00D32625"/>
    <w:rsid w:val="00D335BC"/>
    <w:rsid w:val="00D33D1C"/>
    <w:rsid w:val="00D341DB"/>
    <w:rsid w:val="00D348F1"/>
    <w:rsid w:val="00D34D34"/>
    <w:rsid w:val="00D34D5D"/>
    <w:rsid w:val="00D35893"/>
    <w:rsid w:val="00D35F6E"/>
    <w:rsid w:val="00D3612A"/>
    <w:rsid w:val="00D36AA3"/>
    <w:rsid w:val="00D3770B"/>
    <w:rsid w:val="00D37C2D"/>
    <w:rsid w:val="00D4048D"/>
    <w:rsid w:val="00D40A6B"/>
    <w:rsid w:val="00D40ABC"/>
    <w:rsid w:val="00D40DB3"/>
    <w:rsid w:val="00D40DEE"/>
    <w:rsid w:val="00D41068"/>
    <w:rsid w:val="00D42872"/>
    <w:rsid w:val="00D42D64"/>
    <w:rsid w:val="00D43AE7"/>
    <w:rsid w:val="00D43C05"/>
    <w:rsid w:val="00D46505"/>
    <w:rsid w:val="00D47167"/>
    <w:rsid w:val="00D47C17"/>
    <w:rsid w:val="00D50792"/>
    <w:rsid w:val="00D50ED3"/>
    <w:rsid w:val="00D51264"/>
    <w:rsid w:val="00D52016"/>
    <w:rsid w:val="00D53244"/>
    <w:rsid w:val="00D53E30"/>
    <w:rsid w:val="00D5425E"/>
    <w:rsid w:val="00D549DB"/>
    <w:rsid w:val="00D55C27"/>
    <w:rsid w:val="00D5601F"/>
    <w:rsid w:val="00D5644D"/>
    <w:rsid w:val="00D6096A"/>
    <w:rsid w:val="00D60D85"/>
    <w:rsid w:val="00D61C45"/>
    <w:rsid w:val="00D61DB8"/>
    <w:rsid w:val="00D628F0"/>
    <w:rsid w:val="00D64524"/>
    <w:rsid w:val="00D64CB2"/>
    <w:rsid w:val="00D65FC3"/>
    <w:rsid w:val="00D70316"/>
    <w:rsid w:val="00D71A87"/>
    <w:rsid w:val="00D723BC"/>
    <w:rsid w:val="00D730F4"/>
    <w:rsid w:val="00D73B1C"/>
    <w:rsid w:val="00D74373"/>
    <w:rsid w:val="00D74C16"/>
    <w:rsid w:val="00D74DDD"/>
    <w:rsid w:val="00D75D24"/>
    <w:rsid w:val="00D763A4"/>
    <w:rsid w:val="00D76F83"/>
    <w:rsid w:val="00D77A57"/>
    <w:rsid w:val="00D807A3"/>
    <w:rsid w:val="00D81B34"/>
    <w:rsid w:val="00D81D7F"/>
    <w:rsid w:val="00D82198"/>
    <w:rsid w:val="00D83E00"/>
    <w:rsid w:val="00D84101"/>
    <w:rsid w:val="00D84241"/>
    <w:rsid w:val="00D84D7F"/>
    <w:rsid w:val="00D84E4E"/>
    <w:rsid w:val="00D85221"/>
    <w:rsid w:val="00D85394"/>
    <w:rsid w:val="00D8567A"/>
    <w:rsid w:val="00D86067"/>
    <w:rsid w:val="00D86929"/>
    <w:rsid w:val="00D86B12"/>
    <w:rsid w:val="00D8704E"/>
    <w:rsid w:val="00D878D6"/>
    <w:rsid w:val="00D87B63"/>
    <w:rsid w:val="00D87E90"/>
    <w:rsid w:val="00D90828"/>
    <w:rsid w:val="00D90C3A"/>
    <w:rsid w:val="00D90CAD"/>
    <w:rsid w:val="00D914AF"/>
    <w:rsid w:val="00D9160E"/>
    <w:rsid w:val="00D921AD"/>
    <w:rsid w:val="00D92D0E"/>
    <w:rsid w:val="00D92DBA"/>
    <w:rsid w:val="00D92FE4"/>
    <w:rsid w:val="00D93479"/>
    <w:rsid w:val="00D937AA"/>
    <w:rsid w:val="00D95D7F"/>
    <w:rsid w:val="00D9680E"/>
    <w:rsid w:val="00D96F77"/>
    <w:rsid w:val="00D97C3E"/>
    <w:rsid w:val="00DA0212"/>
    <w:rsid w:val="00DA0454"/>
    <w:rsid w:val="00DA1A79"/>
    <w:rsid w:val="00DA1CB9"/>
    <w:rsid w:val="00DA3891"/>
    <w:rsid w:val="00DA404D"/>
    <w:rsid w:val="00DA476B"/>
    <w:rsid w:val="00DA486C"/>
    <w:rsid w:val="00DA4F5D"/>
    <w:rsid w:val="00DA51CC"/>
    <w:rsid w:val="00DA59E7"/>
    <w:rsid w:val="00DA6AAF"/>
    <w:rsid w:val="00DA6B1D"/>
    <w:rsid w:val="00DA6DC3"/>
    <w:rsid w:val="00DA73AD"/>
    <w:rsid w:val="00DA774B"/>
    <w:rsid w:val="00DA7AEF"/>
    <w:rsid w:val="00DB0FCB"/>
    <w:rsid w:val="00DB2547"/>
    <w:rsid w:val="00DB2754"/>
    <w:rsid w:val="00DB3870"/>
    <w:rsid w:val="00DB3AD0"/>
    <w:rsid w:val="00DB3C54"/>
    <w:rsid w:val="00DB413C"/>
    <w:rsid w:val="00DB4313"/>
    <w:rsid w:val="00DB5804"/>
    <w:rsid w:val="00DB683F"/>
    <w:rsid w:val="00DB7CF3"/>
    <w:rsid w:val="00DB7F89"/>
    <w:rsid w:val="00DC13E0"/>
    <w:rsid w:val="00DC2916"/>
    <w:rsid w:val="00DC2B0C"/>
    <w:rsid w:val="00DC2E19"/>
    <w:rsid w:val="00DC4364"/>
    <w:rsid w:val="00DC4ADA"/>
    <w:rsid w:val="00DC4F1C"/>
    <w:rsid w:val="00DC5318"/>
    <w:rsid w:val="00DC5B8B"/>
    <w:rsid w:val="00DC5E54"/>
    <w:rsid w:val="00DC6367"/>
    <w:rsid w:val="00DC6D2A"/>
    <w:rsid w:val="00DC6F62"/>
    <w:rsid w:val="00DC74B4"/>
    <w:rsid w:val="00DC787A"/>
    <w:rsid w:val="00DC7F53"/>
    <w:rsid w:val="00DD029B"/>
    <w:rsid w:val="00DD039F"/>
    <w:rsid w:val="00DD0C3F"/>
    <w:rsid w:val="00DD159D"/>
    <w:rsid w:val="00DD1F33"/>
    <w:rsid w:val="00DD364C"/>
    <w:rsid w:val="00DD455E"/>
    <w:rsid w:val="00DD500F"/>
    <w:rsid w:val="00DD603A"/>
    <w:rsid w:val="00DD6185"/>
    <w:rsid w:val="00DD61DF"/>
    <w:rsid w:val="00DD65F3"/>
    <w:rsid w:val="00DD6FE1"/>
    <w:rsid w:val="00DE0F17"/>
    <w:rsid w:val="00DE1C5C"/>
    <w:rsid w:val="00DE1CC4"/>
    <w:rsid w:val="00DE2548"/>
    <w:rsid w:val="00DE387D"/>
    <w:rsid w:val="00DE38D0"/>
    <w:rsid w:val="00DE480E"/>
    <w:rsid w:val="00DE4A6F"/>
    <w:rsid w:val="00DE4F22"/>
    <w:rsid w:val="00DE5D58"/>
    <w:rsid w:val="00DE620C"/>
    <w:rsid w:val="00DE635E"/>
    <w:rsid w:val="00DE6BE4"/>
    <w:rsid w:val="00DE7D26"/>
    <w:rsid w:val="00DE7FE6"/>
    <w:rsid w:val="00DF024E"/>
    <w:rsid w:val="00DF0978"/>
    <w:rsid w:val="00DF0BFD"/>
    <w:rsid w:val="00DF0D93"/>
    <w:rsid w:val="00DF1B8F"/>
    <w:rsid w:val="00DF2360"/>
    <w:rsid w:val="00DF23F7"/>
    <w:rsid w:val="00DF2BDC"/>
    <w:rsid w:val="00DF2CEB"/>
    <w:rsid w:val="00DF31EA"/>
    <w:rsid w:val="00DF4024"/>
    <w:rsid w:val="00DF444F"/>
    <w:rsid w:val="00DF48D5"/>
    <w:rsid w:val="00DF5219"/>
    <w:rsid w:val="00DF5338"/>
    <w:rsid w:val="00DF5E5F"/>
    <w:rsid w:val="00DF5E67"/>
    <w:rsid w:val="00DF68F1"/>
    <w:rsid w:val="00DF7006"/>
    <w:rsid w:val="00DF7328"/>
    <w:rsid w:val="00DF75FB"/>
    <w:rsid w:val="00E01632"/>
    <w:rsid w:val="00E01718"/>
    <w:rsid w:val="00E01910"/>
    <w:rsid w:val="00E03437"/>
    <w:rsid w:val="00E03C25"/>
    <w:rsid w:val="00E052B5"/>
    <w:rsid w:val="00E05643"/>
    <w:rsid w:val="00E05A71"/>
    <w:rsid w:val="00E06C1F"/>
    <w:rsid w:val="00E07265"/>
    <w:rsid w:val="00E0729D"/>
    <w:rsid w:val="00E12141"/>
    <w:rsid w:val="00E125E8"/>
    <w:rsid w:val="00E12939"/>
    <w:rsid w:val="00E12B65"/>
    <w:rsid w:val="00E132E3"/>
    <w:rsid w:val="00E148A4"/>
    <w:rsid w:val="00E14AA0"/>
    <w:rsid w:val="00E14CB8"/>
    <w:rsid w:val="00E15877"/>
    <w:rsid w:val="00E15904"/>
    <w:rsid w:val="00E164BF"/>
    <w:rsid w:val="00E2029F"/>
    <w:rsid w:val="00E2048A"/>
    <w:rsid w:val="00E21AD3"/>
    <w:rsid w:val="00E2299A"/>
    <w:rsid w:val="00E22C45"/>
    <w:rsid w:val="00E23E29"/>
    <w:rsid w:val="00E245D2"/>
    <w:rsid w:val="00E25789"/>
    <w:rsid w:val="00E260C1"/>
    <w:rsid w:val="00E26662"/>
    <w:rsid w:val="00E27444"/>
    <w:rsid w:val="00E27581"/>
    <w:rsid w:val="00E27652"/>
    <w:rsid w:val="00E27A88"/>
    <w:rsid w:val="00E3009E"/>
    <w:rsid w:val="00E306CE"/>
    <w:rsid w:val="00E30A73"/>
    <w:rsid w:val="00E30BCE"/>
    <w:rsid w:val="00E3281F"/>
    <w:rsid w:val="00E3343F"/>
    <w:rsid w:val="00E3371D"/>
    <w:rsid w:val="00E337C8"/>
    <w:rsid w:val="00E34421"/>
    <w:rsid w:val="00E35A43"/>
    <w:rsid w:val="00E3672B"/>
    <w:rsid w:val="00E367E7"/>
    <w:rsid w:val="00E3683C"/>
    <w:rsid w:val="00E4116E"/>
    <w:rsid w:val="00E41D76"/>
    <w:rsid w:val="00E42208"/>
    <w:rsid w:val="00E42C75"/>
    <w:rsid w:val="00E430C8"/>
    <w:rsid w:val="00E43143"/>
    <w:rsid w:val="00E43551"/>
    <w:rsid w:val="00E44AC7"/>
    <w:rsid w:val="00E45264"/>
    <w:rsid w:val="00E460BC"/>
    <w:rsid w:val="00E4678E"/>
    <w:rsid w:val="00E46ACD"/>
    <w:rsid w:val="00E47169"/>
    <w:rsid w:val="00E473CE"/>
    <w:rsid w:val="00E47C5E"/>
    <w:rsid w:val="00E503D6"/>
    <w:rsid w:val="00E50CC7"/>
    <w:rsid w:val="00E51242"/>
    <w:rsid w:val="00E51361"/>
    <w:rsid w:val="00E526F4"/>
    <w:rsid w:val="00E528E3"/>
    <w:rsid w:val="00E52905"/>
    <w:rsid w:val="00E5335E"/>
    <w:rsid w:val="00E5382A"/>
    <w:rsid w:val="00E53B49"/>
    <w:rsid w:val="00E543A5"/>
    <w:rsid w:val="00E5452A"/>
    <w:rsid w:val="00E54843"/>
    <w:rsid w:val="00E55837"/>
    <w:rsid w:val="00E573D4"/>
    <w:rsid w:val="00E575EA"/>
    <w:rsid w:val="00E5794B"/>
    <w:rsid w:val="00E57F69"/>
    <w:rsid w:val="00E608EA"/>
    <w:rsid w:val="00E61088"/>
    <w:rsid w:val="00E61BBC"/>
    <w:rsid w:val="00E61EF3"/>
    <w:rsid w:val="00E62812"/>
    <w:rsid w:val="00E62A4D"/>
    <w:rsid w:val="00E62ADC"/>
    <w:rsid w:val="00E641C1"/>
    <w:rsid w:val="00E65109"/>
    <w:rsid w:val="00E66CB4"/>
    <w:rsid w:val="00E67C1F"/>
    <w:rsid w:val="00E700DD"/>
    <w:rsid w:val="00E70176"/>
    <w:rsid w:val="00E716DC"/>
    <w:rsid w:val="00E72090"/>
    <w:rsid w:val="00E721FA"/>
    <w:rsid w:val="00E727EC"/>
    <w:rsid w:val="00E72C66"/>
    <w:rsid w:val="00E7338D"/>
    <w:rsid w:val="00E736D3"/>
    <w:rsid w:val="00E73C5E"/>
    <w:rsid w:val="00E74320"/>
    <w:rsid w:val="00E746AB"/>
    <w:rsid w:val="00E751AB"/>
    <w:rsid w:val="00E7599A"/>
    <w:rsid w:val="00E8011A"/>
    <w:rsid w:val="00E803AB"/>
    <w:rsid w:val="00E808A3"/>
    <w:rsid w:val="00E81547"/>
    <w:rsid w:val="00E82020"/>
    <w:rsid w:val="00E822A2"/>
    <w:rsid w:val="00E85170"/>
    <w:rsid w:val="00E85189"/>
    <w:rsid w:val="00E8566D"/>
    <w:rsid w:val="00E85B66"/>
    <w:rsid w:val="00E86E0A"/>
    <w:rsid w:val="00E87095"/>
    <w:rsid w:val="00E876CB"/>
    <w:rsid w:val="00E876FA"/>
    <w:rsid w:val="00E90413"/>
    <w:rsid w:val="00E90C0B"/>
    <w:rsid w:val="00E92C66"/>
    <w:rsid w:val="00E9476F"/>
    <w:rsid w:val="00E950DE"/>
    <w:rsid w:val="00E959F2"/>
    <w:rsid w:val="00E95EE2"/>
    <w:rsid w:val="00E961E3"/>
    <w:rsid w:val="00E96B66"/>
    <w:rsid w:val="00EA0260"/>
    <w:rsid w:val="00EA0C24"/>
    <w:rsid w:val="00EA0CED"/>
    <w:rsid w:val="00EA1950"/>
    <w:rsid w:val="00EA1CAC"/>
    <w:rsid w:val="00EA27C9"/>
    <w:rsid w:val="00EA299D"/>
    <w:rsid w:val="00EA2C31"/>
    <w:rsid w:val="00EA3881"/>
    <w:rsid w:val="00EA3C27"/>
    <w:rsid w:val="00EA48C8"/>
    <w:rsid w:val="00EA4FFF"/>
    <w:rsid w:val="00EA6B18"/>
    <w:rsid w:val="00EA6C2E"/>
    <w:rsid w:val="00EA6CC9"/>
    <w:rsid w:val="00EA773F"/>
    <w:rsid w:val="00EA7788"/>
    <w:rsid w:val="00EA7B41"/>
    <w:rsid w:val="00EA7F8A"/>
    <w:rsid w:val="00EB0AD3"/>
    <w:rsid w:val="00EB12D5"/>
    <w:rsid w:val="00EB15E7"/>
    <w:rsid w:val="00EB1A27"/>
    <w:rsid w:val="00EB1BF7"/>
    <w:rsid w:val="00EB1F1A"/>
    <w:rsid w:val="00EB2028"/>
    <w:rsid w:val="00EB293D"/>
    <w:rsid w:val="00EB336C"/>
    <w:rsid w:val="00EB3F45"/>
    <w:rsid w:val="00EB5069"/>
    <w:rsid w:val="00EB57F7"/>
    <w:rsid w:val="00EB59F4"/>
    <w:rsid w:val="00EB5A9D"/>
    <w:rsid w:val="00EB5AC9"/>
    <w:rsid w:val="00EB7334"/>
    <w:rsid w:val="00EC05F8"/>
    <w:rsid w:val="00EC0CF3"/>
    <w:rsid w:val="00EC15B9"/>
    <w:rsid w:val="00EC2557"/>
    <w:rsid w:val="00EC25AB"/>
    <w:rsid w:val="00EC2B41"/>
    <w:rsid w:val="00EC2E01"/>
    <w:rsid w:val="00EC36DA"/>
    <w:rsid w:val="00EC36FB"/>
    <w:rsid w:val="00EC3DBC"/>
    <w:rsid w:val="00EC5C9A"/>
    <w:rsid w:val="00EC6099"/>
    <w:rsid w:val="00EC672B"/>
    <w:rsid w:val="00EC6C2B"/>
    <w:rsid w:val="00EC6CB8"/>
    <w:rsid w:val="00EC7116"/>
    <w:rsid w:val="00EC7BA1"/>
    <w:rsid w:val="00ED0C1B"/>
    <w:rsid w:val="00ED0EF7"/>
    <w:rsid w:val="00ED1C82"/>
    <w:rsid w:val="00ED305A"/>
    <w:rsid w:val="00ED415A"/>
    <w:rsid w:val="00ED6A97"/>
    <w:rsid w:val="00ED72F3"/>
    <w:rsid w:val="00ED776F"/>
    <w:rsid w:val="00ED7AB2"/>
    <w:rsid w:val="00EE2A60"/>
    <w:rsid w:val="00EE30AB"/>
    <w:rsid w:val="00EE313F"/>
    <w:rsid w:val="00EE3C14"/>
    <w:rsid w:val="00EE4FEB"/>
    <w:rsid w:val="00EE5C6C"/>
    <w:rsid w:val="00EE72C9"/>
    <w:rsid w:val="00EE75D5"/>
    <w:rsid w:val="00EE772E"/>
    <w:rsid w:val="00EE7F34"/>
    <w:rsid w:val="00EE7FDA"/>
    <w:rsid w:val="00EF012E"/>
    <w:rsid w:val="00EF02F5"/>
    <w:rsid w:val="00EF030F"/>
    <w:rsid w:val="00EF0374"/>
    <w:rsid w:val="00EF0545"/>
    <w:rsid w:val="00EF0D12"/>
    <w:rsid w:val="00EF1764"/>
    <w:rsid w:val="00EF4A79"/>
    <w:rsid w:val="00EF5909"/>
    <w:rsid w:val="00EF5CAF"/>
    <w:rsid w:val="00EF6976"/>
    <w:rsid w:val="00EF6AD4"/>
    <w:rsid w:val="00F0032A"/>
    <w:rsid w:val="00F01596"/>
    <w:rsid w:val="00F01C09"/>
    <w:rsid w:val="00F020E0"/>
    <w:rsid w:val="00F0292F"/>
    <w:rsid w:val="00F02F91"/>
    <w:rsid w:val="00F035F3"/>
    <w:rsid w:val="00F03877"/>
    <w:rsid w:val="00F0486C"/>
    <w:rsid w:val="00F04DB5"/>
    <w:rsid w:val="00F05683"/>
    <w:rsid w:val="00F05A35"/>
    <w:rsid w:val="00F05FCA"/>
    <w:rsid w:val="00F062B2"/>
    <w:rsid w:val="00F06AB6"/>
    <w:rsid w:val="00F06C6F"/>
    <w:rsid w:val="00F142F9"/>
    <w:rsid w:val="00F14423"/>
    <w:rsid w:val="00F14B54"/>
    <w:rsid w:val="00F167CF"/>
    <w:rsid w:val="00F168FC"/>
    <w:rsid w:val="00F205C6"/>
    <w:rsid w:val="00F20E16"/>
    <w:rsid w:val="00F21372"/>
    <w:rsid w:val="00F216A3"/>
    <w:rsid w:val="00F23976"/>
    <w:rsid w:val="00F23E07"/>
    <w:rsid w:val="00F24413"/>
    <w:rsid w:val="00F244B4"/>
    <w:rsid w:val="00F25454"/>
    <w:rsid w:val="00F25FAD"/>
    <w:rsid w:val="00F271FE"/>
    <w:rsid w:val="00F30237"/>
    <w:rsid w:val="00F30AC3"/>
    <w:rsid w:val="00F30B3F"/>
    <w:rsid w:val="00F3167F"/>
    <w:rsid w:val="00F31CA0"/>
    <w:rsid w:val="00F32036"/>
    <w:rsid w:val="00F33B58"/>
    <w:rsid w:val="00F34995"/>
    <w:rsid w:val="00F358E2"/>
    <w:rsid w:val="00F35F72"/>
    <w:rsid w:val="00F36F87"/>
    <w:rsid w:val="00F4178C"/>
    <w:rsid w:val="00F418A4"/>
    <w:rsid w:val="00F41D75"/>
    <w:rsid w:val="00F4225F"/>
    <w:rsid w:val="00F42298"/>
    <w:rsid w:val="00F43308"/>
    <w:rsid w:val="00F444A7"/>
    <w:rsid w:val="00F449BC"/>
    <w:rsid w:val="00F458EA"/>
    <w:rsid w:val="00F4637E"/>
    <w:rsid w:val="00F464A1"/>
    <w:rsid w:val="00F47876"/>
    <w:rsid w:val="00F50A49"/>
    <w:rsid w:val="00F51C83"/>
    <w:rsid w:val="00F51C95"/>
    <w:rsid w:val="00F51EE1"/>
    <w:rsid w:val="00F5346C"/>
    <w:rsid w:val="00F538A0"/>
    <w:rsid w:val="00F56057"/>
    <w:rsid w:val="00F56F37"/>
    <w:rsid w:val="00F57438"/>
    <w:rsid w:val="00F579BD"/>
    <w:rsid w:val="00F57D7C"/>
    <w:rsid w:val="00F57F4F"/>
    <w:rsid w:val="00F603E1"/>
    <w:rsid w:val="00F61F0B"/>
    <w:rsid w:val="00F62A77"/>
    <w:rsid w:val="00F62CEC"/>
    <w:rsid w:val="00F638E4"/>
    <w:rsid w:val="00F63C5F"/>
    <w:rsid w:val="00F64CE3"/>
    <w:rsid w:val="00F65604"/>
    <w:rsid w:val="00F656F6"/>
    <w:rsid w:val="00F65F21"/>
    <w:rsid w:val="00F6633A"/>
    <w:rsid w:val="00F6676D"/>
    <w:rsid w:val="00F66B3C"/>
    <w:rsid w:val="00F6729A"/>
    <w:rsid w:val="00F67511"/>
    <w:rsid w:val="00F67D32"/>
    <w:rsid w:val="00F70926"/>
    <w:rsid w:val="00F72567"/>
    <w:rsid w:val="00F729C7"/>
    <w:rsid w:val="00F739F4"/>
    <w:rsid w:val="00F7600F"/>
    <w:rsid w:val="00F76A45"/>
    <w:rsid w:val="00F76C13"/>
    <w:rsid w:val="00F778FD"/>
    <w:rsid w:val="00F77908"/>
    <w:rsid w:val="00F77F23"/>
    <w:rsid w:val="00F81690"/>
    <w:rsid w:val="00F817ED"/>
    <w:rsid w:val="00F826C4"/>
    <w:rsid w:val="00F82F4E"/>
    <w:rsid w:val="00F8311C"/>
    <w:rsid w:val="00F83A5D"/>
    <w:rsid w:val="00F8413F"/>
    <w:rsid w:val="00F846AA"/>
    <w:rsid w:val="00F8474F"/>
    <w:rsid w:val="00F853AB"/>
    <w:rsid w:val="00F85D06"/>
    <w:rsid w:val="00F86742"/>
    <w:rsid w:val="00F86A95"/>
    <w:rsid w:val="00F870C1"/>
    <w:rsid w:val="00F872B4"/>
    <w:rsid w:val="00F87BFB"/>
    <w:rsid w:val="00F87CC0"/>
    <w:rsid w:val="00F9004F"/>
    <w:rsid w:val="00F902EF"/>
    <w:rsid w:val="00F9060D"/>
    <w:rsid w:val="00F915D3"/>
    <w:rsid w:val="00F925FC"/>
    <w:rsid w:val="00F92A7D"/>
    <w:rsid w:val="00F93021"/>
    <w:rsid w:val="00F931E5"/>
    <w:rsid w:val="00F93C61"/>
    <w:rsid w:val="00F93E79"/>
    <w:rsid w:val="00F966A0"/>
    <w:rsid w:val="00F9703C"/>
    <w:rsid w:val="00F97494"/>
    <w:rsid w:val="00FA02E1"/>
    <w:rsid w:val="00FA04F7"/>
    <w:rsid w:val="00FA12FB"/>
    <w:rsid w:val="00FA183C"/>
    <w:rsid w:val="00FA1F90"/>
    <w:rsid w:val="00FA254E"/>
    <w:rsid w:val="00FA3FAE"/>
    <w:rsid w:val="00FA56CD"/>
    <w:rsid w:val="00FA67C0"/>
    <w:rsid w:val="00FA7089"/>
    <w:rsid w:val="00FA7AF3"/>
    <w:rsid w:val="00FB0AE5"/>
    <w:rsid w:val="00FB2C4B"/>
    <w:rsid w:val="00FB3178"/>
    <w:rsid w:val="00FB4019"/>
    <w:rsid w:val="00FB464D"/>
    <w:rsid w:val="00FB4B96"/>
    <w:rsid w:val="00FB5308"/>
    <w:rsid w:val="00FB5936"/>
    <w:rsid w:val="00FB5959"/>
    <w:rsid w:val="00FB5D59"/>
    <w:rsid w:val="00FB6053"/>
    <w:rsid w:val="00FB719D"/>
    <w:rsid w:val="00FB79AE"/>
    <w:rsid w:val="00FB7D7D"/>
    <w:rsid w:val="00FC0C41"/>
    <w:rsid w:val="00FC1C89"/>
    <w:rsid w:val="00FC2B27"/>
    <w:rsid w:val="00FC4695"/>
    <w:rsid w:val="00FC4C65"/>
    <w:rsid w:val="00FC52D3"/>
    <w:rsid w:val="00FC5C3F"/>
    <w:rsid w:val="00FC5EAB"/>
    <w:rsid w:val="00FC6357"/>
    <w:rsid w:val="00FC6F3A"/>
    <w:rsid w:val="00FC7A78"/>
    <w:rsid w:val="00FC7A92"/>
    <w:rsid w:val="00FD00CB"/>
    <w:rsid w:val="00FD03FE"/>
    <w:rsid w:val="00FD0F49"/>
    <w:rsid w:val="00FD1081"/>
    <w:rsid w:val="00FD1808"/>
    <w:rsid w:val="00FD2609"/>
    <w:rsid w:val="00FD2C8C"/>
    <w:rsid w:val="00FD3002"/>
    <w:rsid w:val="00FD3327"/>
    <w:rsid w:val="00FD4352"/>
    <w:rsid w:val="00FD45F0"/>
    <w:rsid w:val="00FD4BBA"/>
    <w:rsid w:val="00FD50DD"/>
    <w:rsid w:val="00FD530A"/>
    <w:rsid w:val="00FD538C"/>
    <w:rsid w:val="00FD5573"/>
    <w:rsid w:val="00FD5A60"/>
    <w:rsid w:val="00FD767F"/>
    <w:rsid w:val="00FD7B8D"/>
    <w:rsid w:val="00FE0030"/>
    <w:rsid w:val="00FE00CF"/>
    <w:rsid w:val="00FE0A89"/>
    <w:rsid w:val="00FE0D9C"/>
    <w:rsid w:val="00FE1994"/>
    <w:rsid w:val="00FE2992"/>
    <w:rsid w:val="00FE2C37"/>
    <w:rsid w:val="00FE2DAD"/>
    <w:rsid w:val="00FE31EE"/>
    <w:rsid w:val="00FE3484"/>
    <w:rsid w:val="00FE38AA"/>
    <w:rsid w:val="00FE3B1D"/>
    <w:rsid w:val="00FE420E"/>
    <w:rsid w:val="00FE4A60"/>
    <w:rsid w:val="00FE4DFC"/>
    <w:rsid w:val="00FE5C30"/>
    <w:rsid w:val="00FE7E2B"/>
    <w:rsid w:val="00FF1DD0"/>
    <w:rsid w:val="00FF21F9"/>
    <w:rsid w:val="00FF264B"/>
    <w:rsid w:val="00FF267C"/>
    <w:rsid w:val="00FF359E"/>
    <w:rsid w:val="00FF3EA9"/>
    <w:rsid w:val="00FF406C"/>
    <w:rsid w:val="00FF5518"/>
    <w:rsid w:val="00FF666D"/>
    <w:rsid w:val="00FF73D1"/>
    <w:rsid w:val="00FF7DCB"/>
    <w:rsid w:val="04815783"/>
    <w:rsid w:val="04AE227F"/>
    <w:rsid w:val="050362A1"/>
    <w:rsid w:val="06E155F6"/>
    <w:rsid w:val="07756F82"/>
    <w:rsid w:val="0B1F33EE"/>
    <w:rsid w:val="0C0F380F"/>
    <w:rsid w:val="0D3D7AFE"/>
    <w:rsid w:val="0F880A8D"/>
    <w:rsid w:val="107C4ACA"/>
    <w:rsid w:val="10CD5FE7"/>
    <w:rsid w:val="11C92A1F"/>
    <w:rsid w:val="136635CA"/>
    <w:rsid w:val="141352AC"/>
    <w:rsid w:val="15C26F8A"/>
    <w:rsid w:val="164862B3"/>
    <w:rsid w:val="17044FF9"/>
    <w:rsid w:val="17A83CD1"/>
    <w:rsid w:val="180A4C18"/>
    <w:rsid w:val="1C2300FD"/>
    <w:rsid w:val="1D69418F"/>
    <w:rsid w:val="1E1A3B08"/>
    <w:rsid w:val="1E3F4040"/>
    <w:rsid w:val="1E672360"/>
    <w:rsid w:val="1EC30F48"/>
    <w:rsid w:val="212F38F5"/>
    <w:rsid w:val="220E1528"/>
    <w:rsid w:val="2382405C"/>
    <w:rsid w:val="23C55570"/>
    <w:rsid w:val="23DA1CFD"/>
    <w:rsid w:val="24D64800"/>
    <w:rsid w:val="2534587C"/>
    <w:rsid w:val="253469B9"/>
    <w:rsid w:val="253D74B2"/>
    <w:rsid w:val="28CD4F40"/>
    <w:rsid w:val="2CD60F3D"/>
    <w:rsid w:val="2D8C1F00"/>
    <w:rsid w:val="2DEB3F82"/>
    <w:rsid w:val="2FAC1422"/>
    <w:rsid w:val="315151BB"/>
    <w:rsid w:val="31574CA8"/>
    <w:rsid w:val="3270798B"/>
    <w:rsid w:val="336F02F9"/>
    <w:rsid w:val="34BB3BE7"/>
    <w:rsid w:val="353020B3"/>
    <w:rsid w:val="35953021"/>
    <w:rsid w:val="369E2CA4"/>
    <w:rsid w:val="375B253A"/>
    <w:rsid w:val="39B35922"/>
    <w:rsid w:val="39CC4EA1"/>
    <w:rsid w:val="39CF1907"/>
    <w:rsid w:val="3A064390"/>
    <w:rsid w:val="3A7F0307"/>
    <w:rsid w:val="3C283661"/>
    <w:rsid w:val="3CC17321"/>
    <w:rsid w:val="3CC24359"/>
    <w:rsid w:val="3E4B1963"/>
    <w:rsid w:val="3F4E0B6D"/>
    <w:rsid w:val="4113421C"/>
    <w:rsid w:val="412546ED"/>
    <w:rsid w:val="41C77552"/>
    <w:rsid w:val="41D27A48"/>
    <w:rsid w:val="41F7169D"/>
    <w:rsid w:val="427A64AB"/>
    <w:rsid w:val="437008C4"/>
    <w:rsid w:val="43D16A5E"/>
    <w:rsid w:val="442742D8"/>
    <w:rsid w:val="45132AAF"/>
    <w:rsid w:val="455F7AA2"/>
    <w:rsid w:val="45B87A8F"/>
    <w:rsid w:val="45D05C94"/>
    <w:rsid w:val="47352751"/>
    <w:rsid w:val="482A5AA8"/>
    <w:rsid w:val="4A852FFB"/>
    <w:rsid w:val="4E787F9E"/>
    <w:rsid w:val="4ED166E8"/>
    <w:rsid w:val="4F2D7040"/>
    <w:rsid w:val="4F67555D"/>
    <w:rsid w:val="4F7C508D"/>
    <w:rsid w:val="4FCA7A50"/>
    <w:rsid w:val="50792360"/>
    <w:rsid w:val="51694182"/>
    <w:rsid w:val="51FB565D"/>
    <w:rsid w:val="52397523"/>
    <w:rsid w:val="52550769"/>
    <w:rsid w:val="53085941"/>
    <w:rsid w:val="53977A11"/>
    <w:rsid w:val="55286102"/>
    <w:rsid w:val="56201B4C"/>
    <w:rsid w:val="58E1111D"/>
    <w:rsid w:val="591F251C"/>
    <w:rsid w:val="59A9090E"/>
    <w:rsid w:val="5D9953D6"/>
    <w:rsid w:val="5DA84E4D"/>
    <w:rsid w:val="5E0A2849"/>
    <w:rsid w:val="611A0347"/>
    <w:rsid w:val="61AA08FE"/>
    <w:rsid w:val="63485184"/>
    <w:rsid w:val="645F2F42"/>
    <w:rsid w:val="64BC318E"/>
    <w:rsid w:val="655068C5"/>
    <w:rsid w:val="65B323C4"/>
    <w:rsid w:val="66027ADA"/>
    <w:rsid w:val="664A412A"/>
    <w:rsid w:val="674E19F8"/>
    <w:rsid w:val="67E07000"/>
    <w:rsid w:val="67EE6F14"/>
    <w:rsid w:val="68453B42"/>
    <w:rsid w:val="68B03B33"/>
    <w:rsid w:val="6C1E6416"/>
    <w:rsid w:val="703F50EA"/>
    <w:rsid w:val="704240C4"/>
    <w:rsid w:val="70744007"/>
    <w:rsid w:val="70A82791"/>
    <w:rsid w:val="71453E6C"/>
    <w:rsid w:val="72181BCA"/>
    <w:rsid w:val="721D2C56"/>
    <w:rsid w:val="73717FB2"/>
    <w:rsid w:val="74A52E74"/>
    <w:rsid w:val="74ED7B41"/>
    <w:rsid w:val="7538135D"/>
    <w:rsid w:val="76813CD1"/>
    <w:rsid w:val="78322C70"/>
    <w:rsid w:val="78540E39"/>
    <w:rsid w:val="78ED6C9F"/>
    <w:rsid w:val="7B5B0730"/>
    <w:rsid w:val="7C6C01C7"/>
    <w:rsid w:val="7D0469A0"/>
    <w:rsid w:val="7DE828B4"/>
    <w:rsid w:val="7FF151BF"/>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semiHidden="0" w:name="heading 4"/>
    <w:lsdException w:qFormat="1" w:uiPriority="9" w:semiHidden="0" w:name="heading 5"/>
    <w:lsdException w:qFormat="1" w:uiPriority="9" w:semiHidden="0"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qFormat="1" w:uiPriority="39" w:semiHidden="0" w:name="toc 4"/>
    <w:lsdException w:qFormat="1" w:uiPriority="39" w:semiHidden="0" w:name="toc 5"/>
    <w:lsdException w:qFormat="1" w:uiPriority="39" w:semiHidden="0" w:name="toc 6"/>
    <w:lsdException w:qFormat="1" w:uiPriority="39" w:semiHidden="0" w:name="toc 7"/>
    <w:lsdException w:qFormat="1" w:uiPriority="39" w:semiHidden="0" w:name="toc 8"/>
    <w:lsdException w:qFormat="1" w:uiPriority="39" w:semiHidden="0" w:name="toc 9"/>
    <w:lsdException w:qFormat="1" w:unhideWhenUsed="0" w:uiPriority="0" w:semiHidden="0" w:name="Normal Indent"/>
    <w:lsdException w:uiPriority="99" w:name="footnote text"/>
    <w:lsdException w:qFormat="1" w:unhideWhenUsed="0" w:uiPriority="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nhideWhenUsed="0" w:uiPriority="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name="Date"/>
    <w:lsdException w:qFormat="1" w:unhideWhenUsed="0" w:uiPriority="0" w:semiHidden="0" w:name="Body Text First Indent"/>
    <w:lsdException w:uiPriority="99" w:name="Body Text First Indent 2"/>
    <w:lsdException w:uiPriority="99" w:name="Note Heading"/>
    <w:lsdException w:qFormat="1" w:unhideWhenUsed="0" w:uiPriority="0" w:semiHidden="0"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qFormat="1"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9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qFormat="1" w:unhideWhenUsed="0" w:uiPriority="29" w:semiHidden="0" w:name="Quote"/>
    <w:lsdException w:qFormat="1" w:unhideWhenUsed="0" w:uiPriority="3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line="360" w:lineRule="auto"/>
    </w:pPr>
    <w:rPr>
      <w:rFonts w:ascii="宋体" w:hAnsi="宋体" w:eastAsia="宋体" w:cs="Times New Roman"/>
      <w:sz w:val="24"/>
      <w:szCs w:val="22"/>
      <w:lang w:val="en-US" w:eastAsia="zh-CN" w:bidi="ar-SA"/>
    </w:rPr>
  </w:style>
  <w:style w:type="paragraph" w:styleId="2">
    <w:name w:val="heading 1"/>
    <w:basedOn w:val="1"/>
    <w:next w:val="1"/>
    <w:link w:val="43"/>
    <w:qFormat/>
    <w:uiPriority w:val="9"/>
    <w:pPr>
      <w:numPr>
        <w:ilvl w:val="0"/>
        <w:numId w:val="1"/>
      </w:numPr>
      <w:ind w:left="2417"/>
      <w:contextualSpacing/>
      <w:outlineLvl w:val="0"/>
    </w:pPr>
    <w:rPr>
      <w:rFonts w:ascii="Cambria" w:hAnsi="Cambria"/>
      <w:b/>
      <w:smallCaps/>
      <w:spacing w:val="5"/>
      <w:sz w:val="30"/>
      <w:szCs w:val="36"/>
    </w:rPr>
  </w:style>
  <w:style w:type="paragraph" w:styleId="3">
    <w:name w:val="heading 2"/>
    <w:basedOn w:val="2"/>
    <w:next w:val="1"/>
    <w:link w:val="46"/>
    <w:unhideWhenUsed/>
    <w:qFormat/>
    <w:uiPriority w:val="9"/>
    <w:pPr>
      <w:numPr>
        <w:ilvl w:val="1"/>
      </w:numPr>
      <w:spacing w:line="271" w:lineRule="auto"/>
      <w:outlineLvl w:val="1"/>
    </w:pPr>
    <w:rPr>
      <w:sz w:val="28"/>
      <w:szCs w:val="28"/>
    </w:rPr>
  </w:style>
  <w:style w:type="paragraph" w:styleId="4">
    <w:name w:val="heading 3"/>
    <w:basedOn w:val="1"/>
    <w:next w:val="1"/>
    <w:link w:val="41"/>
    <w:unhideWhenUsed/>
    <w:qFormat/>
    <w:uiPriority w:val="9"/>
    <w:pPr>
      <w:numPr>
        <w:ilvl w:val="2"/>
        <w:numId w:val="1"/>
      </w:numPr>
      <w:spacing w:line="271" w:lineRule="auto"/>
      <w:outlineLvl w:val="2"/>
    </w:pPr>
    <w:rPr>
      <w:rFonts w:ascii="Cambria" w:hAnsi="Cambria"/>
      <w:b/>
      <w:iCs/>
      <w:smallCaps/>
      <w:spacing w:val="5"/>
      <w:sz w:val="26"/>
      <w:szCs w:val="26"/>
    </w:rPr>
  </w:style>
  <w:style w:type="paragraph" w:styleId="5">
    <w:name w:val="heading 4"/>
    <w:basedOn w:val="1"/>
    <w:next w:val="1"/>
    <w:link w:val="42"/>
    <w:unhideWhenUsed/>
    <w:qFormat/>
    <w:uiPriority w:val="9"/>
    <w:pPr>
      <w:numPr>
        <w:ilvl w:val="3"/>
        <w:numId w:val="1"/>
      </w:numPr>
      <w:spacing w:line="271" w:lineRule="auto"/>
      <w:outlineLvl w:val="3"/>
    </w:pPr>
    <w:rPr>
      <w:rFonts w:ascii="Cambria" w:hAnsi="Cambria"/>
      <w:b/>
      <w:bCs/>
      <w:spacing w:val="5"/>
      <w:szCs w:val="24"/>
    </w:rPr>
  </w:style>
  <w:style w:type="paragraph" w:styleId="6">
    <w:name w:val="heading 5"/>
    <w:basedOn w:val="1"/>
    <w:next w:val="1"/>
    <w:link w:val="47"/>
    <w:unhideWhenUsed/>
    <w:qFormat/>
    <w:uiPriority w:val="9"/>
    <w:pPr>
      <w:numPr>
        <w:ilvl w:val="4"/>
        <w:numId w:val="1"/>
      </w:numPr>
      <w:spacing w:line="271" w:lineRule="auto"/>
      <w:outlineLvl w:val="4"/>
    </w:pPr>
    <w:rPr>
      <w:rFonts w:ascii="Cambria" w:hAnsi="Cambria"/>
      <w:b/>
      <w:iCs/>
      <w:szCs w:val="24"/>
    </w:rPr>
  </w:style>
  <w:style w:type="paragraph" w:styleId="7">
    <w:name w:val="heading 6"/>
    <w:basedOn w:val="1"/>
    <w:next w:val="1"/>
    <w:link w:val="48"/>
    <w:unhideWhenUsed/>
    <w:qFormat/>
    <w:uiPriority w:val="9"/>
    <w:pPr>
      <w:numPr>
        <w:ilvl w:val="5"/>
        <w:numId w:val="1"/>
      </w:numPr>
      <w:shd w:val="clear" w:color="auto" w:fill="FFFFFF"/>
      <w:spacing w:line="271" w:lineRule="auto"/>
      <w:outlineLvl w:val="5"/>
    </w:pPr>
    <w:rPr>
      <w:rFonts w:ascii="Cambria" w:hAnsi="Cambria"/>
      <w:b/>
      <w:bCs/>
      <w:color w:val="595959"/>
      <w:spacing w:val="5"/>
      <w:sz w:val="22"/>
    </w:rPr>
  </w:style>
  <w:style w:type="paragraph" w:styleId="8">
    <w:name w:val="heading 7"/>
    <w:basedOn w:val="1"/>
    <w:next w:val="1"/>
    <w:link w:val="49"/>
    <w:semiHidden/>
    <w:unhideWhenUsed/>
    <w:qFormat/>
    <w:uiPriority w:val="9"/>
    <w:pPr>
      <w:numPr>
        <w:ilvl w:val="6"/>
        <w:numId w:val="1"/>
      </w:numPr>
      <w:outlineLvl w:val="6"/>
    </w:pPr>
    <w:rPr>
      <w:rFonts w:ascii="Cambria" w:hAnsi="Cambria"/>
      <w:b/>
      <w:bCs/>
      <w:i/>
      <w:iCs/>
      <w:color w:val="5A5A5A"/>
      <w:sz w:val="20"/>
      <w:szCs w:val="20"/>
    </w:rPr>
  </w:style>
  <w:style w:type="paragraph" w:styleId="9">
    <w:name w:val="heading 8"/>
    <w:basedOn w:val="1"/>
    <w:next w:val="1"/>
    <w:link w:val="50"/>
    <w:semiHidden/>
    <w:unhideWhenUsed/>
    <w:qFormat/>
    <w:uiPriority w:val="9"/>
    <w:pPr>
      <w:numPr>
        <w:ilvl w:val="7"/>
        <w:numId w:val="1"/>
      </w:numPr>
      <w:outlineLvl w:val="7"/>
    </w:pPr>
    <w:rPr>
      <w:rFonts w:ascii="Cambria" w:hAnsi="Cambria"/>
      <w:b/>
      <w:bCs/>
      <w:color w:val="7F7F7F"/>
      <w:sz w:val="20"/>
      <w:szCs w:val="20"/>
    </w:rPr>
  </w:style>
  <w:style w:type="paragraph" w:styleId="10">
    <w:name w:val="heading 9"/>
    <w:basedOn w:val="1"/>
    <w:next w:val="1"/>
    <w:link w:val="51"/>
    <w:semiHidden/>
    <w:unhideWhenUsed/>
    <w:qFormat/>
    <w:uiPriority w:val="9"/>
    <w:pPr>
      <w:numPr>
        <w:ilvl w:val="8"/>
        <w:numId w:val="1"/>
      </w:numPr>
      <w:spacing w:line="271" w:lineRule="auto"/>
      <w:outlineLvl w:val="8"/>
    </w:pPr>
    <w:rPr>
      <w:rFonts w:ascii="Cambria" w:hAnsi="Cambria"/>
      <w:b/>
      <w:bCs/>
      <w:i/>
      <w:iCs/>
      <w:color w:val="7F7F7F"/>
      <w:sz w:val="18"/>
      <w:szCs w:val="18"/>
    </w:rPr>
  </w:style>
  <w:style w:type="character" w:default="1" w:styleId="35">
    <w:name w:val="Default Paragraph Font"/>
    <w:semiHidden/>
    <w:unhideWhenUsed/>
    <w:qFormat/>
    <w:uiPriority w:val="1"/>
  </w:style>
  <w:style w:type="table" w:default="1" w:styleId="33">
    <w:name w:val="Normal Table"/>
    <w:semiHidden/>
    <w:unhideWhenUsed/>
    <w:qFormat/>
    <w:uiPriority w:val="99"/>
    <w:tblPr>
      <w:tblLayout w:type="fixed"/>
      <w:tblCellMar>
        <w:top w:w="0" w:type="dxa"/>
        <w:left w:w="108" w:type="dxa"/>
        <w:bottom w:w="0" w:type="dxa"/>
        <w:right w:w="108" w:type="dxa"/>
      </w:tblCellMar>
    </w:tblPr>
  </w:style>
  <w:style w:type="paragraph" w:styleId="11">
    <w:name w:val="toc 7"/>
    <w:basedOn w:val="1"/>
    <w:next w:val="1"/>
    <w:unhideWhenUsed/>
    <w:qFormat/>
    <w:uiPriority w:val="39"/>
    <w:pPr>
      <w:widowControl w:val="0"/>
      <w:spacing w:line="240" w:lineRule="auto"/>
      <w:ind w:left="2520" w:leftChars="1200"/>
      <w:jc w:val="both"/>
    </w:pPr>
    <w:rPr>
      <w:rFonts w:ascii="Calibri" w:hAnsi="Calibri"/>
      <w:kern w:val="2"/>
      <w:sz w:val="21"/>
    </w:rPr>
  </w:style>
  <w:style w:type="paragraph" w:styleId="12">
    <w:name w:val="Normal Indent"/>
    <w:basedOn w:val="1"/>
    <w:qFormat/>
    <w:uiPriority w:val="0"/>
    <w:pPr>
      <w:ind w:firstLine="420"/>
    </w:pPr>
    <w:rPr>
      <w:rFonts w:eastAsia="仿宋_GB2312"/>
      <w:sz w:val="30"/>
      <w:szCs w:val="20"/>
    </w:rPr>
  </w:style>
  <w:style w:type="paragraph" w:styleId="13">
    <w:name w:val="caption"/>
    <w:basedOn w:val="1"/>
    <w:next w:val="1"/>
    <w:semiHidden/>
    <w:unhideWhenUsed/>
    <w:qFormat/>
    <w:uiPriority w:val="35"/>
    <w:rPr>
      <w:rFonts w:eastAsia="黑体"/>
      <w:sz w:val="20"/>
      <w:szCs w:val="20"/>
    </w:rPr>
  </w:style>
  <w:style w:type="paragraph" w:styleId="14">
    <w:name w:val="Document Map"/>
    <w:basedOn w:val="1"/>
    <w:link w:val="80"/>
    <w:semiHidden/>
    <w:unhideWhenUsed/>
    <w:qFormat/>
    <w:uiPriority w:val="99"/>
    <w:rPr>
      <w:sz w:val="18"/>
      <w:szCs w:val="18"/>
    </w:rPr>
  </w:style>
  <w:style w:type="paragraph" w:styleId="15">
    <w:name w:val="annotation text"/>
    <w:basedOn w:val="1"/>
    <w:link w:val="79"/>
    <w:semiHidden/>
    <w:qFormat/>
    <w:uiPriority w:val="0"/>
    <w:pPr>
      <w:spacing w:line="240" w:lineRule="auto"/>
    </w:pPr>
    <w:rPr>
      <w:rFonts w:ascii="Calibri" w:hAnsi="Calibri"/>
      <w:szCs w:val="24"/>
    </w:rPr>
  </w:style>
  <w:style w:type="paragraph" w:styleId="16">
    <w:name w:val="Body Text"/>
    <w:basedOn w:val="1"/>
    <w:next w:val="1"/>
    <w:qFormat/>
    <w:uiPriority w:val="0"/>
    <w:pPr>
      <w:spacing w:after="120"/>
    </w:pPr>
  </w:style>
  <w:style w:type="paragraph" w:styleId="17">
    <w:name w:val="toc 5"/>
    <w:basedOn w:val="1"/>
    <w:next w:val="1"/>
    <w:unhideWhenUsed/>
    <w:qFormat/>
    <w:uiPriority w:val="39"/>
    <w:pPr>
      <w:widowControl w:val="0"/>
      <w:spacing w:line="240" w:lineRule="auto"/>
      <w:ind w:left="1680" w:leftChars="800"/>
      <w:jc w:val="both"/>
    </w:pPr>
    <w:rPr>
      <w:rFonts w:ascii="Calibri" w:hAnsi="Calibri"/>
      <w:kern w:val="2"/>
      <w:sz w:val="21"/>
    </w:rPr>
  </w:style>
  <w:style w:type="paragraph" w:styleId="18">
    <w:name w:val="toc 3"/>
    <w:basedOn w:val="1"/>
    <w:next w:val="1"/>
    <w:unhideWhenUsed/>
    <w:qFormat/>
    <w:uiPriority w:val="39"/>
    <w:pPr>
      <w:ind w:left="840" w:leftChars="400"/>
    </w:pPr>
  </w:style>
  <w:style w:type="paragraph" w:styleId="19">
    <w:name w:val="toc 8"/>
    <w:basedOn w:val="1"/>
    <w:next w:val="1"/>
    <w:unhideWhenUsed/>
    <w:qFormat/>
    <w:uiPriority w:val="39"/>
    <w:pPr>
      <w:widowControl w:val="0"/>
      <w:spacing w:line="240" w:lineRule="auto"/>
      <w:ind w:left="2940" w:leftChars="1400"/>
      <w:jc w:val="both"/>
    </w:pPr>
    <w:rPr>
      <w:rFonts w:ascii="Calibri" w:hAnsi="Calibri"/>
      <w:kern w:val="2"/>
      <w:sz w:val="21"/>
    </w:rPr>
  </w:style>
  <w:style w:type="paragraph" w:styleId="20">
    <w:name w:val="Date"/>
    <w:basedOn w:val="1"/>
    <w:next w:val="1"/>
    <w:link w:val="83"/>
    <w:semiHidden/>
    <w:unhideWhenUsed/>
    <w:qFormat/>
    <w:uiPriority w:val="99"/>
    <w:pPr>
      <w:ind w:left="100" w:leftChars="2500"/>
    </w:pPr>
  </w:style>
  <w:style w:type="paragraph" w:styleId="21">
    <w:name w:val="Balloon Text"/>
    <w:basedOn w:val="1"/>
    <w:link w:val="67"/>
    <w:semiHidden/>
    <w:unhideWhenUsed/>
    <w:qFormat/>
    <w:uiPriority w:val="99"/>
    <w:pPr>
      <w:spacing w:line="240" w:lineRule="auto"/>
    </w:pPr>
    <w:rPr>
      <w:sz w:val="18"/>
      <w:szCs w:val="18"/>
    </w:rPr>
  </w:style>
  <w:style w:type="paragraph" w:styleId="22">
    <w:name w:val="footer"/>
    <w:basedOn w:val="1"/>
    <w:link w:val="69"/>
    <w:unhideWhenUsed/>
    <w:qFormat/>
    <w:uiPriority w:val="99"/>
    <w:pPr>
      <w:tabs>
        <w:tab w:val="center" w:pos="4153"/>
        <w:tab w:val="right" w:pos="8306"/>
      </w:tabs>
      <w:snapToGrid w:val="0"/>
      <w:spacing w:line="240" w:lineRule="auto"/>
    </w:pPr>
    <w:rPr>
      <w:sz w:val="18"/>
      <w:szCs w:val="18"/>
    </w:rPr>
  </w:style>
  <w:style w:type="paragraph" w:styleId="23">
    <w:name w:val="header"/>
    <w:basedOn w:val="1"/>
    <w:link w:val="68"/>
    <w:unhideWhenUsed/>
    <w:qFormat/>
    <w:uiPriority w:val="99"/>
    <w:pPr>
      <w:pBdr>
        <w:bottom w:val="single" w:color="auto" w:sz="6" w:space="1"/>
      </w:pBdr>
      <w:tabs>
        <w:tab w:val="center" w:pos="4153"/>
        <w:tab w:val="right" w:pos="8306"/>
      </w:tabs>
      <w:snapToGrid w:val="0"/>
      <w:spacing w:line="240" w:lineRule="auto"/>
      <w:jc w:val="center"/>
    </w:pPr>
    <w:rPr>
      <w:sz w:val="18"/>
      <w:szCs w:val="18"/>
    </w:rPr>
  </w:style>
  <w:style w:type="paragraph" w:styleId="24">
    <w:name w:val="toc 1"/>
    <w:basedOn w:val="1"/>
    <w:next w:val="1"/>
    <w:unhideWhenUsed/>
    <w:qFormat/>
    <w:uiPriority w:val="39"/>
  </w:style>
  <w:style w:type="paragraph" w:styleId="25">
    <w:name w:val="toc 4"/>
    <w:basedOn w:val="1"/>
    <w:next w:val="1"/>
    <w:unhideWhenUsed/>
    <w:qFormat/>
    <w:uiPriority w:val="39"/>
    <w:pPr>
      <w:widowControl w:val="0"/>
      <w:spacing w:line="240" w:lineRule="auto"/>
      <w:ind w:left="1260" w:leftChars="600"/>
      <w:jc w:val="both"/>
    </w:pPr>
    <w:rPr>
      <w:rFonts w:ascii="Calibri" w:hAnsi="Calibri"/>
      <w:kern w:val="2"/>
      <w:sz w:val="21"/>
    </w:rPr>
  </w:style>
  <w:style w:type="paragraph" w:styleId="26">
    <w:name w:val="Subtitle"/>
    <w:basedOn w:val="1"/>
    <w:next w:val="1"/>
    <w:link w:val="53"/>
    <w:qFormat/>
    <w:uiPriority w:val="11"/>
    <w:pPr>
      <w:jc w:val="center"/>
    </w:pPr>
    <w:rPr>
      <w:rFonts w:ascii="Cambria" w:hAnsi="Cambria"/>
      <w:iCs/>
      <w:smallCaps/>
      <w:spacing w:val="10"/>
      <w:sz w:val="28"/>
      <w:szCs w:val="28"/>
    </w:rPr>
  </w:style>
  <w:style w:type="paragraph" w:styleId="27">
    <w:name w:val="toc 6"/>
    <w:basedOn w:val="1"/>
    <w:next w:val="1"/>
    <w:unhideWhenUsed/>
    <w:qFormat/>
    <w:uiPriority w:val="39"/>
    <w:pPr>
      <w:widowControl w:val="0"/>
      <w:spacing w:line="240" w:lineRule="auto"/>
      <w:ind w:left="2100" w:leftChars="1000"/>
      <w:jc w:val="both"/>
    </w:pPr>
    <w:rPr>
      <w:rFonts w:ascii="Calibri" w:hAnsi="Calibri"/>
      <w:kern w:val="2"/>
      <w:sz w:val="21"/>
    </w:rPr>
  </w:style>
  <w:style w:type="paragraph" w:styleId="28">
    <w:name w:val="toc 2"/>
    <w:basedOn w:val="1"/>
    <w:next w:val="1"/>
    <w:unhideWhenUsed/>
    <w:qFormat/>
    <w:uiPriority w:val="39"/>
    <w:pPr>
      <w:ind w:left="420" w:leftChars="200"/>
    </w:pPr>
  </w:style>
  <w:style w:type="paragraph" w:styleId="29">
    <w:name w:val="toc 9"/>
    <w:basedOn w:val="1"/>
    <w:next w:val="1"/>
    <w:unhideWhenUsed/>
    <w:qFormat/>
    <w:uiPriority w:val="39"/>
    <w:pPr>
      <w:widowControl w:val="0"/>
      <w:spacing w:line="240" w:lineRule="auto"/>
      <w:ind w:left="3360" w:leftChars="1600"/>
      <w:jc w:val="both"/>
    </w:pPr>
    <w:rPr>
      <w:rFonts w:ascii="Calibri" w:hAnsi="Calibri"/>
      <w:kern w:val="2"/>
      <w:sz w:val="21"/>
    </w:rPr>
  </w:style>
  <w:style w:type="paragraph" w:styleId="30">
    <w:name w:val="Body Text 2"/>
    <w:basedOn w:val="1"/>
    <w:qFormat/>
    <w:uiPriority w:val="0"/>
    <w:pPr>
      <w:adjustRightInd w:val="0"/>
      <w:snapToGrid w:val="0"/>
      <w:spacing w:before="240" w:line="240" w:lineRule="auto"/>
      <w:ind w:right="210" w:rightChars="100"/>
    </w:pPr>
    <w:rPr>
      <w:bCs/>
      <w:szCs w:val="24"/>
    </w:rPr>
  </w:style>
  <w:style w:type="paragraph" w:styleId="31">
    <w:name w:val="Title"/>
    <w:basedOn w:val="1"/>
    <w:next w:val="1"/>
    <w:link w:val="52"/>
    <w:qFormat/>
    <w:uiPriority w:val="10"/>
    <w:pPr>
      <w:spacing w:before="160" w:after="360" w:line="240" w:lineRule="auto"/>
      <w:contextualSpacing/>
      <w:jc w:val="center"/>
    </w:pPr>
    <w:rPr>
      <w:rFonts w:ascii="Cambria" w:hAnsi="Cambria"/>
      <w:b/>
      <w:smallCaps/>
      <w:sz w:val="36"/>
      <w:szCs w:val="52"/>
    </w:rPr>
  </w:style>
  <w:style w:type="paragraph" w:styleId="32">
    <w:name w:val="Body Text First Indent"/>
    <w:basedOn w:val="16"/>
    <w:qFormat/>
    <w:uiPriority w:val="0"/>
    <w:pPr>
      <w:spacing w:line="240" w:lineRule="auto"/>
      <w:ind w:firstLine="420" w:firstLineChars="100"/>
    </w:pPr>
    <w:rPr>
      <w:szCs w:val="24"/>
    </w:rPr>
  </w:style>
  <w:style w:type="table" w:styleId="34">
    <w:name w:val="Table Grid"/>
    <w:basedOn w:val="33"/>
    <w:qFormat/>
    <w:uiPriority w:val="9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character" w:styleId="36">
    <w:name w:val="Strong"/>
    <w:qFormat/>
    <w:uiPriority w:val="22"/>
    <w:rPr>
      <w:b/>
      <w:bCs/>
    </w:rPr>
  </w:style>
  <w:style w:type="character" w:styleId="37">
    <w:name w:val="page number"/>
    <w:basedOn w:val="35"/>
    <w:qFormat/>
    <w:uiPriority w:val="0"/>
  </w:style>
  <w:style w:type="character" w:styleId="38">
    <w:name w:val="Emphasis"/>
    <w:qFormat/>
    <w:uiPriority w:val="20"/>
    <w:rPr>
      <w:b/>
      <w:bCs/>
      <w:i/>
      <w:iCs/>
      <w:spacing w:val="10"/>
    </w:rPr>
  </w:style>
  <w:style w:type="character" w:styleId="39">
    <w:name w:val="Hyperlink"/>
    <w:unhideWhenUsed/>
    <w:qFormat/>
    <w:uiPriority w:val="99"/>
    <w:rPr>
      <w:color w:val="0000FF"/>
      <w:u w:val="single"/>
    </w:rPr>
  </w:style>
  <w:style w:type="character" w:styleId="40">
    <w:name w:val="annotation reference"/>
    <w:semiHidden/>
    <w:qFormat/>
    <w:uiPriority w:val="0"/>
    <w:rPr>
      <w:sz w:val="21"/>
      <w:szCs w:val="21"/>
    </w:rPr>
  </w:style>
  <w:style w:type="character" w:customStyle="1" w:styleId="41">
    <w:name w:val="标题 3 字符"/>
    <w:link w:val="4"/>
    <w:qFormat/>
    <w:uiPriority w:val="9"/>
    <w:rPr>
      <w:b/>
      <w:iCs/>
      <w:smallCaps/>
      <w:spacing w:val="5"/>
      <w:sz w:val="26"/>
      <w:szCs w:val="26"/>
    </w:rPr>
  </w:style>
  <w:style w:type="character" w:customStyle="1" w:styleId="42">
    <w:name w:val="标题 4 字符"/>
    <w:link w:val="5"/>
    <w:qFormat/>
    <w:uiPriority w:val="9"/>
    <w:rPr>
      <w:b/>
      <w:bCs/>
      <w:spacing w:val="5"/>
      <w:sz w:val="24"/>
      <w:szCs w:val="24"/>
    </w:rPr>
  </w:style>
  <w:style w:type="character" w:customStyle="1" w:styleId="43">
    <w:name w:val="标题 1 字符"/>
    <w:link w:val="2"/>
    <w:qFormat/>
    <w:uiPriority w:val="9"/>
    <w:rPr>
      <w:b/>
      <w:smallCaps/>
      <w:spacing w:val="5"/>
      <w:sz w:val="30"/>
      <w:szCs w:val="36"/>
    </w:rPr>
  </w:style>
  <w:style w:type="paragraph" w:customStyle="1" w:styleId="44">
    <w:name w:val="表格文字"/>
    <w:basedOn w:val="45"/>
    <w:next w:val="16"/>
    <w:link w:val="81"/>
    <w:qFormat/>
    <w:uiPriority w:val="0"/>
    <w:pPr>
      <w:spacing w:before="25" w:after="25"/>
    </w:pPr>
    <w:rPr>
      <w:rFonts w:ascii="Cambria" w:hAnsi="Cambria"/>
      <w:bCs/>
      <w:szCs w:val="20"/>
    </w:rPr>
  </w:style>
  <w:style w:type="paragraph" w:customStyle="1" w:styleId="45">
    <w:name w:val="正文 New New New"/>
    <w:qFormat/>
    <w:uiPriority w:val="0"/>
    <w:pPr>
      <w:widowControl w:val="0"/>
      <w:jc w:val="both"/>
    </w:pPr>
    <w:rPr>
      <w:rFonts w:ascii="Times New Roman" w:hAnsi="Times New Roman" w:eastAsia="宋体" w:cs="Times New Roman"/>
      <w:kern w:val="2"/>
      <w:sz w:val="21"/>
      <w:szCs w:val="24"/>
      <w:lang w:val="en-US" w:eastAsia="zh-CN" w:bidi="ar-SA"/>
    </w:rPr>
  </w:style>
  <w:style w:type="character" w:customStyle="1" w:styleId="46">
    <w:name w:val="标题 2 字符"/>
    <w:link w:val="3"/>
    <w:qFormat/>
    <w:uiPriority w:val="9"/>
    <w:rPr>
      <w:b/>
      <w:smallCaps/>
      <w:spacing w:val="5"/>
      <w:sz w:val="28"/>
      <w:szCs w:val="28"/>
    </w:rPr>
  </w:style>
  <w:style w:type="character" w:customStyle="1" w:styleId="47">
    <w:name w:val="标题 5 字符"/>
    <w:link w:val="6"/>
    <w:qFormat/>
    <w:uiPriority w:val="9"/>
    <w:rPr>
      <w:b/>
      <w:iCs/>
      <w:sz w:val="24"/>
      <w:szCs w:val="24"/>
    </w:rPr>
  </w:style>
  <w:style w:type="character" w:customStyle="1" w:styleId="48">
    <w:name w:val="标题 6 字符"/>
    <w:link w:val="7"/>
    <w:qFormat/>
    <w:uiPriority w:val="9"/>
    <w:rPr>
      <w:b/>
      <w:bCs/>
      <w:color w:val="595959"/>
      <w:spacing w:val="5"/>
      <w:sz w:val="22"/>
      <w:szCs w:val="22"/>
      <w:shd w:val="clear" w:color="auto" w:fill="FFFFFF"/>
    </w:rPr>
  </w:style>
  <w:style w:type="character" w:customStyle="1" w:styleId="49">
    <w:name w:val="标题 7 字符"/>
    <w:link w:val="8"/>
    <w:semiHidden/>
    <w:qFormat/>
    <w:uiPriority w:val="9"/>
    <w:rPr>
      <w:b/>
      <w:bCs/>
      <w:i/>
      <w:iCs/>
      <w:color w:val="5A5A5A"/>
    </w:rPr>
  </w:style>
  <w:style w:type="character" w:customStyle="1" w:styleId="50">
    <w:name w:val="标题 8 字符"/>
    <w:link w:val="9"/>
    <w:semiHidden/>
    <w:qFormat/>
    <w:uiPriority w:val="9"/>
    <w:rPr>
      <w:b/>
      <w:bCs/>
      <w:color w:val="7F7F7F"/>
    </w:rPr>
  </w:style>
  <w:style w:type="character" w:customStyle="1" w:styleId="51">
    <w:name w:val="标题 9 字符"/>
    <w:link w:val="10"/>
    <w:semiHidden/>
    <w:qFormat/>
    <w:uiPriority w:val="9"/>
    <w:rPr>
      <w:b/>
      <w:bCs/>
      <w:i/>
      <w:iCs/>
      <w:color w:val="7F7F7F"/>
      <w:sz w:val="18"/>
      <w:szCs w:val="18"/>
    </w:rPr>
  </w:style>
  <w:style w:type="character" w:customStyle="1" w:styleId="52">
    <w:name w:val="标题 字符"/>
    <w:link w:val="31"/>
    <w:qFormat/>
    <w:uiPriority w:val="10"/>
    <w:rPr>
      <w:b/>
      <w:smallCaps/>
      <w:sz w:val="36"/>
      <w:szCs w:val="52"/>
    </w:rPr>
  </w:style>
  <w:style w:type="character" w:customStyle="1" w:styleId="53">
    <w:name w:val="副标题 字符"/>
    <w:link w:val="26"/>
    <w:qFormat/>
    <w:uiPriority w:val="11"/>
    <w:rPr>
      <w:iCs/>
      <w:smallCaps/>
      <w:spacing w:val="10"/>
      <w:sz w:val="28"/>
      <w:szCs w:val="28"/>
    </w:rPr>
  </w:style>
  <w:style w:type="paragraph" w:styleId="54">
    <w:name w:val="No Spacing"/>
    <w:basedOn w:val="1"/>
    <w:link w:val="66"/>
    <w:qFormat/>
    <w:uiPriority w:val="1"/>
    <w:pPr>
      <w:spacing w:line="240" w:lineRule="auto"/>
    </w:pPr>
    <w:rPr>
      <w:rFonts w:ascii="Cambria" w:hAnsi="Cambria"/>
      <w:sz w:val="22"/>
    </w:rPr>
  </w:style>
  <w:style w:type="paragraph" w:styleId="55">
    <w:name w:val="List Paragraph"/>
    <w:basedOn w:val="1"/>
    <w:link w:val="74"/>
    <w:qFormat/>
    <w:uiPriority w:val="99"/>
    <w:pPr>
      <w:ind w:left="720"/>
      <w:contextualSpacing/>
    </w:pPr>
    <w:rPr>
      <w:rFonts w:ascii="Calibri" w:hAnsi="Calibri"/>
    </w:rPr>
  </w:style>
  <w:style w:type="paragraph" w:styleId="56">
    <w:name w:val="Quote"/>
    <w:basedOn w:val="1"/>
    <w:next w:val="1"/>
    <w:link w:val="57"/>
    <w:qFormat/>
    <w:uiPriority w:val="29"/>
    <w:rPr>
      <w:rFonts w:ascii="Cambria" w:hAnsi="Cambria"/>
      <w:i/>
      <w:iCs/>
      <w:sz w:val="22"/>
    </w:rPr>
  </w:style>
  <w:style w:type="character" w:customStyle="1" w:styleId="57">
    <w:name w:val="引用 字符"/>
    <w:link w:val="56"/>
    <w:qFormat/>
    <w:uiPriority w:val="29"/>
    <w:rPr>
      <w:i/>
      <w:iCs/>
    </w:rPr>
  </w:style>
  <w:style w:type="paragraph" w:styleId="58">
    <w:name w:val="Intense Quote"/>
    <w:basedOn w:val="1"/>
    <w:next w:val="1"/>
    <w:link w:val="59"/>
    <w:qFormat/>
    <w:uiPriority w:val="30"/>
    <w:pPr>
      <w:pBdr>
        <w:top w:val="single" w:color="auto" w:sz="4" w:space="10"/>
        <w:bottom w:val="single" w:color="auto" w:sz="4" w:space="10"/>
      </w:pBdr>
      <w:spacing w:before="240" w:after="240" w:line="300" w:lineRule="auto"/>
      <w:ind w:left="1152" w:right="1152"/>
      <w:jc w:val="both"/>
    </w:pPr>
    <w:rPr>
      <w:rFonts w:ascii="Cambria" w:hAnsi="Cambria"/>
      <w:i/>
      <w:iCs/>
      <w:sz w:val="22"/>
    </w:rPr>
  </w:style>
  <w:style w:type="character" w:customStyle="1" w:styleId="59">
    <w:name w:val="明显引用 字符"/>
    <w:link w:val="58"/>
    <w:qFormat/>
    <w:uiPriority w:val="30"/>
    <w:rPr>
      <w:i/>
      <w:iCs/>
    </w:rPr>
  </w:style>
  <w:style w:type="character" w:customStyle="1" w:styleId="60">
    <w:name w:val="不明显强调1"/>
    <w:qFormat/>
    <w:uiPriority w:val="19"/>
    <w:rPr>
      <w:i/>
      <w:iCs/>
    </w:rPr>
  </w:style>
  <w:style w:type="character" w:customStyle="1" w:styleId="61">
    <w:name w:val="明显强调1"/>
    <w:qFormat/>
    <w:uiPriority w:val="21"/>
    <w:rPr>
      <w:b/>
      <w:bCs/>
      <w:i/>
      <w:iCs/>
    </w:rPr>
  </w:style>
  <w:style w:type="character" w:customStyle="1" w:styleId="62">
    <w:name w:val="不明显参考1"/>
    <w:qFormat/>
    <w:uiPriority w:val="31"/>
    <w:rPr>
      <w:smallCaps/>
    </w:rPr>
  </w:style>
  <w:style w:type="character" w:customStyle="1" w:styleId="63">
    <w:name w:val="明显参考1"/>
    <w:qFormat/>
    <w:uiPriority w:val="32"/>
    <w:rPr>
      <w:b/>
      <w:bCs/>
      <w:smallCaps/>
    </w:rPr>
  </w:style>
  <w:style w:type="character" w:customStyle="1" w:styleId="64">
    <w:name w:val="书籍标题1"/>
    <w:qFormat/>
    <w:uiPriority w:val="33"/>
    <w:rPr>
      <w:i/>
      <w:iCs/>
      <w:smallCaps/>
      <w:spacing w:val="5"/>
    </w:rPr>
  </w:style>
  <w:style w:type="paragraph" w:customStyle="1" w:styleId="65">
    <w:name w:val="TOC 标题1"/>
    <w:basedOn w:val="2"/>
    <w:next w:val="1"/>
    <w:semiHidden/>
    <w:unhideWhenUsed/>
    <w:qFormat/>
    <w:uiPriority w:val="39"/>
    <w:pPr>
      <w:numPr>
        <w:numId w:val="0"/>
      </w:numPr>
      <w:outlineLvl w:val="9"/>
    </w:pPr>
    <w:rPr>
      <w:rFonts w:ascii="Calibri" w:hAnsi="Calibri"/>
      <w:lang w:bidi="en-US"/>
    </w:rPr>
  </w:style>
  <w:style w:type="character" w:customStyle="1" w:styleId="66">
    <w:name w:val="无间隔 字符"/>
    <w:link w:val="54"/>
    <w:qFormat/>
    <w:uiPriority w:val="1"/>
  </w:style>
  <w:style w:type="character" w:customStyle="1" w:styleId="67">
    <w:name w:val="批注框文本 字符"/>
    <w:link w:val="21"/>
    <w:semiHidden/>
    <w:qFormat/>
    <w:uiPriority w:val="99"/>
    <w:rPr>
      <w:rFonts w:cs="Times New Roman"/>
      <w:sz w:val="18"/>
      <w:szCs w:val="18"/>
    </w:rPr>
  </w:style>
  <w:style w:type="character" w:customStyle="1" w:styleId="68">
    <w:name w:val="页眉 字符"/>
    <w:link w:val="23"/>
    <w:qFormat/>
    <w:uiPriority w:val="99"/>
    <w:rPr>
      <w:rFonts w:cs="Times New Roman"/>
      <w:sz w:val="18"/>
      <w:szCs w:val="18"/>
    </w:rPr>
  </w:style>
  <w:style w:type="character" w:customStyle="1" w:styleId="69">
    <w:name w:val="页脚 字符"/>
    <w:link w:val="22"/>
    <w:qFormat/>
    <w:uiPriority w:val="99"/>
    <w:rPr>
      <w:rFonts w:cs="Times New Roman"/>
      <w:sz w:val="18"/>
      <w:szCs w:val="18"/>
    </w:rPr>
  </w:style>
  <w:style w:type="paragraph" w:customStyle="1" w:styleId="70">
    <w:name w:val="题注1"/>
    <w:basedOn w:val="13"/>
    <w:link w:val="71"/>
    <w:qFormat/>
    <w:uiPriority w:val="0"/>
    <w:rPr>
      <w:rFonts w:ascii="Cambria" w:hAnsi="Cambria"/>
    </w:rPr>
  </w:style>
  <w:style w:type="character" w:customStyle="1" w:styleId="71">
    <w:name w:val="题注1 Char"/>
    <w:link w:val="70"/>
    <w:qFormat/>
    <w:uiPriority w:val="0"/>
    <w:rPr>
      <w:rFonts w:eastAsia="黑体"/>
      <w:sz w:val="20"/>
      <w:szCs w:val="20"/>
    </w:rPr>
  </w:style>
  <w:style w:type="paragraph" w:customStyle="1" w:styleId="72">
    <w:name w:val="要点1"/>
    <w:basedOn w:val="55"/>
    <w:link w:val="73"/>
    <w:qFormat/>
    <w:uiPriority w:val="0"/>
    <w:pPr>
      <w:tabs>
        <w:tab w:val="left" w:pos="720"/>
      </w:tabs>
      <w:ind w:left="420" w:hanging="420"/>
    </w:pPr>
  </w:style>
  <w:style w:type="character" w:customStyle="1" w:styleId="73">
    <w:name w:val="要点1 Char"/>
    <w:link w:val="72"/>
    <w:qFormat/>
    <w:uiPriority w:val="0"/>
    <w:rPr>
      <w:rFonts w:ascii="Calibri" w:hAnsi="Calibri" w:eastAsia="宋体"/>
    </w:rPr>
  </w:style>
  <w:style w:type="character" w:customStyle="1" w:styleId="74">
    <w:name w:val="列表段落 字符"/>
    <w:link w:val="55"/>
    <w:qFormat/>
    <w:uiPriority w:val="99"/>
    <w:rPr>
      <w:rFonts w:ascii="Calibri" w:hAnsi="Calibri" w:eastAsia="宋体"/>
      <w:sz w:val="24"/>
    </w:rPr>
  </w:style>
  <w:style w:type="paragraph" w:customStyle="1" w:styleId="75">
    <w:name w:val="Cover 3"/>
    <w:qFormat/>
    <w:uiPriority w:val="0"/>
    <w:pPr>
      <w:widowControl w:val="0"/>
      <w:adjustRightInd w:val="0"/>
      <w:snapToGrid w:val="0"/>
      <w:spacing w:before="80" w:after="80" w:line="240" w:lineRule="atLeast"/>
    </w:pPr>
    <w:rPr>
      <w:rFonts w:ascii="Arial" w:hAnsi="Arial" w:eastAsia="黑体" w:cs="Arial"/>
      <w:sz w:val="32"/>
      <w:szCs w:val="32"/>
      <w:lang w:val="en-US" w:eastAsia="en-US" w:bidi="ar-SA"/>
    </w:rPr>
  </w:style>
  <w:style w:type="paragraph" w:customStyle="1" w:styleId="76">
    <w:name w:val="Remark Table Text"/>
    <w:qFormat/>
    <w:uiPriority w:val="0"/>
    <w:pPr>
      <w:widowControl w:val="0"/>
      <w:autoSpaceDE w:val="0"/>
      <w:autoSpaceDN w:val="0"/>
      <w:adjustRightInd w:val="0"/>
      <w:snapToGrid w:val="0"/>
      <w:spacing w:before="80" w:after="80" w:line="276" w:lineRule="auto"/>
    </w:pPr>
    <w:rPr>
      <w:rFonts w:ascii="Arial" w:hAnsi="Arial" w:eastAsia="宋体" w:cs="Arial"/>
      <w:lang w:val="en-US" w:eastAsia="zh-CN" w:bidi="ar-SA"/>
    </w:rPr>
  </w:style>
  <w:style w:type="paragraph" w:customStyle="1" w:styleId="77">
    <w:name w:val="Cover 4"/>
    <w:qFormat/>
    <w:uiPriority w:val="0"/>
    <w:pPr>
      <w:spacing w:before="80" w:after="80" w:line="240" w:lineRule="atLeast"/>
    </w:pPr>
    <w:rPr>
      <w:rFonts w:ascii="黑体" w:hAnsi="宋体" w:eastAsia="黑体" w:cs="Arial"/>
      <w:b/>
      <w:sz w:val="22"/>
      <w:szCs w:val="44"/>
      <w:lang w:val="en-US" w:eastAsia="zh-CN" w:bidi="ar-SA"/>
    </w:rPr>
  </w:style>
  <w:style w:type="paragraph" w:customStyle="1" w:styleId="78">
    <w:name w:val="Char1 Char"/>
    <w:basedOn w:val="1"/>
    <w:qFormat/>
    <w:uiPriority w:val="0"/>
    <w:pPr>
      <w:tabs>
        <w:tab w:val="left" w:pos="630"/>
      </w:tabs>
      <w:spacing w:line="240" w:lineRule="auto"/>
      <w:ind w:left="630" w:hanging="630"/>
    </w:pPr>
    <w:rPr>
      <w:szCs w:val="24"/>
    </w:rPr>
  </w:style>
  <w:style w:type="character" w:customStyle="1" w:styleId="79">
    <w:name w:val="批注文字 字符"/>
    <w:link w:val="15"/>
    <w:semiHidden/>
    <w:qFormat/>
    <w:uiPriority w:val="0"/>
    <w:rPr>
      <w:rFonts w:ascii="Calibri" w:hAnsi="Calibri" w:eastAsia="宋体" w:cs="Times New Roman"/>
      <w:sz w:val="24"/>
      <w:szCs w:val="24"/>
    </w:rPr>
  </w:style>
  <w:style w:type="character" w:customStyle="1" w:styleId="80">
    <w:name w:val="文档结构图 字符"/>
    <w:link w:val="14"/>
    <w:semiHidden/>
    <w:qFormat/>
    <w:uiPriority w:val="99"/>
    <w:rPr>
      <w:rFonts w:ascii="宋体" w:hAnsi="宋体" w:eastAsia="宋体"/>
      <w:sz w:val="18"/>
      <w:szCs w:val="18"/>
    </w:rPr>
  </w:style>
  <w:style w:type="character" w:customStyle="1" w:styleId="81">
    <w:name w:val="表格文字 Char"/>
    <w:link w:val="44"/>
    <w:qFormat/>
    <w:locked/>
    <w:uiPriority w:val="0"/>
    <w:rPr>
      <w:bCs/>
      <w:sz w:val="24"/>
    </w:rPr>
  </w:style>
  <w:style w:type="paragraph" w:customStyle="1" w:styleId="82">
    <w:name w:val="p0"/>
    <w:basedOn w:val="1"/>
    <w:qFormat/>
    <w:uiPriority w:val="0"/>
    <w:pPr>
      <w:widowControl w:val="0"/>
      <w:spacing w:line="240" w:lineRule="auto"/>
      <w:jc w:val="both"/>
    </w:pPr>
    <w:rPr>
      <w:rFonts w:ascii="Times New Roman" w:hAnsi="Times New Roman"/>
      <w:sz w:val="21"/>
      <w:szCs w:val="21"/>
    </w:rPr>
  </w:style>
  <w:style w:type="character" w:customStyle="1" w:styleId="83">
    <w:name w:val="日期 字符"/>
    <w:link w:val="20"/>
    <w:semiHidden/>
    <w:qFormat/>
    <w:uiPriority w:val="99"/>
    <w:rPr>
      <w:rFonts w:ascii="宋体" w:hAnsi="宋体"/>
      <w:sz w:val="24"/>
      <w:szCs w:val="22"/>
    </w:rPr>
  </w:style>
  <w:style w:type="paragraph" w:customStyle="1" w:styleId="84">
    <w:name w:val="列表段落1"/>
    <w:basedOn w:val="1"/>
    <w:qFormat/>
    <w:uiPriority w:val="0"/>
    <w:pPr>
      <w:spacing w:line="240" w:lineRule="auto"/>
      <w:ind w:firstLine="420" w:firstLineChars="200"/>
    </w:pPr>
    <w:rPr>
      <w:rFonts w:ascii="Calibri" w:hAnsi="Calibri"/>
      <w:lang w:val="zh-CN"/>
    </w:rPr>
  </w:style>
  <w:style w:type="paragraph" w:customStyle="1" w:styleId="85">
    <w:name w:val="正文缩进 New"/>
    <w:basedOn w:val="86"/>
    <w:qFormat/>
    <w:uiPriority w:val="0"/>
    <w:pPr>
      <w:ind w:firstLine="420"/>
    </w:pPr>
  </w:style>
  <w:style w:type="paragraph" w:customStyle="1" w:styleId="86">
    <w:name w:val="正文 New New New New New New New"/>
    <w:next w:val="85"/>
    <w:qFormat/>
    <w:uiPriority w:val="0"/>
    <w:pPr>
      <w:widowControl w:val="0"/>
      <w:jc w:val="both"/>
    </w:pPr>
    <w:rPr>
      <w:rFonts w:ascii="Calibri" w:hAnsi="Calibri" w:eastAsia="宋体" w:cs="黑体"/>
      <w:kern w:val="2"/>
      <w:sz w:val="21"/>
      <w:szCs w:val="22"/>
      <w:lang w:val="en-US" w:eastAsia="zh-CN" w:bidi="ar-SA"/>
    </w:rPr>
  </w:style>
  <w:style w:type="paragraph" w:customStyle="1" w:styleId="87">
    <w:name w:val="正文_0"/>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88">
    <w:name w:val="修订1"/>
    <w:hidden/>
    <w:semiHidden/>
    <w:qFormat/>
    <w:uiPriority w:val="99"/>
    <w:rPr>
      <w:rFonts w:ascii="宋体" w:hAnsi="宋体" w:eastAsia="宋体" w:cs="Times New Roman"/>
      <w:sz w:val="24"/>
      <w:szCs w:val="22"/>
      <w:lang w:val="en-US" w:eastAsia="zh-CN" w:bidi="ar-SA"/>
    </w:rPr>
  </w:style>
  <w:style w:type="paragraph" w:customStyle="1" w:styleId="89">
    <w:name w:val="正文 New"/>
    <w:qFormat/>
    <w:uiPriority w:val="0"/>
    <w:pPr>
      <w:widowControl w:val="0"/>
      <w:spacing w:line="360" w:lineRule="auto"/>
      <w:ind w:firstLine="425"/>
      <w:jc w:val="both"/>
    </w:pPr>
    <w:rPr>
      <w:rFonts w:ascii="Times New Roman" w:hAnsi="Times New Roman" w:eastAsia="宋体" w:cs="Times New Roman"/>
      <w:kern w:val="2"/>
      <w:sz w:val="21"/>
      <w:lang w:val="en-US" w:eastAsia="zh-CN" w:bidi="ar-SA"/>
    </w:rPr>
  </w:style>
  <w:style w:type="paragraph" w:customStyle="1" w:styleId="90">
    <w:name w:val="列出段落1"/>
    <w:basedOn w:val="1"/>
    <w:qFormat/>
    <w:uiPriority w:val="34"/>
    <w:pPr>
      <w:ind w:firstLine="420" w:firstLineChars="200"/>
    </w:pPr>
  </w:style>
  <w:style w:type="paragraph" w:customStyle="1" w:styleId="91">
    <w:name w:val="列表（符号一级）（绿盟科技）"/>
    <w:basedOn w:val="1"/>
    <w:link w:val="95"/>
    <w:qFormat/>
    <w:uiPriority w:val="0"/>
    <w:pPr>
      <w:numPr>
        <w:ilvl w:val="0"/>
        <w:numId w:val="2"/>
      </w:numPr>
      <w:spacing w:line="300" w:lineRule="auto"/>
      <w:ind w:left="840"/>
    </w:pPr>
    <w:rPr>
      <w:rFonts w:ascii="Arial" w:hAnsi="Arial"/>
      <w:sz w:val="21"/>
      <w:szCs w:val="21"/>
    </w:rPr>
  </w:style>
  <w:style w:type="paragraph" w:customStyle="1" w:styleId="92">
    <w:name w:val="正文首行缩进（绿盟科技）"/>
    <w:basedOn w:val="1"/>
    <w:link w:val="94"/>
    <w:qFormat/>
    <w:uiPriority w:val="0"/>
    <w:pPr>
      <w:spacing w:after="50" w:line="300" w:lineRule="auto"/>
      <w:ind w:firstLine="200" w:firstLineChars="200"/>
    </w:pPr>
    <w:rPr>
      <w:rFonts w:ascii="Arial" w:hAnsi="Arial"/>
      <w:sz w:val="21"/>
      <w:szCs w:val="21"/>
    </w:rPr>
  </w:style>
  <w:style w:type="paragraph" w:customStyle="1" w:styleId="93">
    <w:name w:val="列表（符号二级）（绿盟科技）"/>
    <w:basedOn w:val="91"/>
    <w:qFormat/>
    <w:uiPriority w:val="0"/>
    <w:pPr>
      <w:numPr>
        <w:ilvl w:val="1"/>
      </w:numPr>
      <w:ind w:left="1260" w:hanging="440"/>
    </w:pPr>
  </w:style>
  <w:style w:type="character" w:customStyle="1" w:styleId="94">
    <w:name w:val="正文首行缩进（绿盟科技） Char"/>
    <w:basedOn w:val="35"/>
    <w:link w:val="92"/>
    <w:qFormat/>
    <w:uiPriority w:val="0"/>
    <w:rPr>
      <w:rFonts w:ascii="Arial" w:hAnsi="Arial"/>
      <w:sz w:val="21"/>
      <w:szCs w:val="21"/>
    </w:rPr>
  </w:style>
  <w:style w:type="character" w:customStyle="1" w:styleId="95">
    <w:name w:val="列表（符号一级）（绿盟科技） Char"/>
    <w:link w:val="91"/>
    <w:qFormat/>
    <w:locked/>
    <w:uiPriority w:val="0"/>
    <w:rPr>
      <w:rFonts w:ascii="Arial" w:hAnsi="Arial"/>
      <w:sz w:val="21"/>
      <w:szCs w:val="21"/>
    </w:rPr>
  </w:style>
  <w:style w:type="paragraph" w:customStyle="1" w:styleId="96">
    <w:name w:val="正文_1"/>
    <w:qFormat/>
    <w:uiPriority w:val="0"/>
    <w:pPr>
      <w:widowControl w:val="0"/>
      <w:jc w:val="both"/>
    </w:pPr>
    <w:rPr>
      <w:rFonts w:ascii="Calibri" w:hAnsi="Calibri" w:eastAsia="宋体" w:cs="Times New Roman"/>
      <w:kern w:val="2"/>
      <w:sz w:val="21"/>
      <w:szCs w:val="22"/>
      <w:lang w:val="en-US" w:eastAsia="zh-CN" w:bidi="ar-SA"/>
    </w:rPr>
  </w:style>
  <w:style w:type="paragraph" w:customStyle="1" w:styleId="97">
    <w:name w:val="s33"/>
    <w:basedOn w:val="1"/>
    <w:qFormat/>
    <w:uiPriority w:val="0"/>
    <w:pPr>
      <w:spacing w:before="100" w:beforeAutospacing="1" w:after="100" w:afterAutospacing="1" w:line="240" w:lineRule="auto"/>
    </w:pPr>
    <w:rPr>
      <w:rFonts w:cs="宋体"/>
      <w:szCs w:val="24"/>
    </w:rPr>
  </w:style>
  <w:style w:type="character" w:customStyle="1" w:styleId="98">
    <w:name w:val="bumpedfont17"/>
    <w:basedOn w:val="35"/>
    <w:qFormat/>
    <w:uiPriority w:val="0"/>
  </w:style>
  <w:style w:type="character" w:customStyle="1" w:styleId="99">
    <w:name w:val="apple-converted-space"/>
    <w:basedOn w:val="35"/>
    <w:qFormat/>
    <w:uiPriority w:val="0"/>
  </w:style>
  <w:style w:type="paragraph" w:customStyle="1" w:styleId="100">
    <w:name w:val="s34"/>
    <w:basedOn w:val="1"/>
    <w:qFormat/>
    <w:uiPriority w:val="0"/>
    <w:pPr>
      <w:spacing w:before="100" w:beforeAutospacing="1" w:after="100" w:afterAutospacing="1" w:line="240" w:lineRule="auto"/>
    </w:pPr>
    <w:rPr>
      <w:rFonts w:cs="宋体"/>
      <w:szCs w:val="24"/>
    </w:rPr>
  </w:style>
  <w:style w:type="paragraph" w:customStyle="1" w:styleId="101">
    <w:name w:val="s23"/>
    <w:basedOn w:val="1"/>
    <w:qFormat/>
    <w:uiPriority w:val="0"/>
    <w:pPr>
      <w:spacing w:before="100" w:beforeAutospacing="1" w:after="100" w:afterAutospacing="1" w:line="240" w:lineRule="auto"/>
    </w:pPr>
    <w:rPr>
      <w:rFonts w:cs="宋体"/>
      <w:szCs w:val="24"/>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image" Target="media/image3.png"/><Relationship Id="rId7" Type="http://schemas.openxmlformats.org/officeDocument/2006/relationships/image" Target="media/image2.png"/><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customXml" Target="../customXml/item3.xml"/><Relationship Id="rId11" Type="http://schemas.openxmlformats.org/officeDocument/2006/relationships/customXml" Target="../customXml/item2.xml"/><Relationship Id="rId10" Type="http://schemas.openxmlformats.org/officeDocument/2006/relationships/numbering" Target="numbering.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D:\&#24037;&#20316;\01_&#24037;&#20316;&#36719;&#20214;\&#25991;&#26723;&#26684;&#24335;\&#40644;&#20426;&#24378;new.dot"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overPageProperties xmlns="http://schemas.microsoft.com/office/2006/coverPageProps">
  <PublishDate>2013-02-20T00:00:00</PublishDate>
  <Abstract>本文主要介绍金蝶医疗电子病历系统的常见问题及解决方法。</Abstract>
  <CompanyAddress/>
  <CompanyPhone/>
  <CompanyFax/>
  <CompanyEmail/>
</CoverPageProperties>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EE939DA2-433A-4468-A9C0-054073CBA172}">
  <ds:schemaRefs/>
</ds:datastoreItem>
</file>

<file path=customXml/itemProps3.xml><?xml version="1.0" encoding="utf-8"?>
<ds:datastoreItem xmlns:ds="http://schemas.openxmlformats.org/officeDocument/2006/customXml" ds:itemID="{55AF091B-3C7A-41E3-B477-F2FDAA23CFDA}">
  <ds:schemaRefs/>
</ds:datastoreItem>
</file>

<file path=docProps/app.xml><?xml version="1.0" encoding="utf-8"?>
<Properties xmlns="http://schemas.openxmlformats.org/officeDocument/2006/extended-properties" xmlns:vt="http://schemas.openxmlformats.org/officeDocument/2006/docPropsVTypes">
  <Template>黄俊强new</Template>
  <Company>金蝶医疗软件科技有限公司</Company>
  <Pages>25</Pages>
  <Words>4244</Words>
  <Characters>4577</Characters>
  <Lines>645</Lines>
  <Paragraphs>489</Paragraphs>
  <TotalTime>61</TotalTime>
  <ScaleCrop>false</ScaleCrop>
  <LinksUpToDate>false</LinksUpToDate>
  <CharactersWithSpaces>4627</CharactersWithSpaces>
  <Application>WPS Office_11.8.2.8411_F1E327BC-269C-435d-A152-05C5408002CA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2025-08-13T06:58:00Z</dcterms:created>
  <dc:creator>Administrator</dc:creator>
  <cp:lastModifiedBy>zzc</cp:lastModifiedBy>
  <cp:lastPrinted>2023-11-09T03:27:00Z</cp:lastPrinted>
  <dcterms:modified xsi:type="dcterms:W3CDTF">2025-08-25T03:11:44Z</dcterms:modified>
  <dc:subject>常见问题集锦</dc:subject>
  <dc:title>EMR&amp;CP产品</dc:title>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2052-11.8.2.8411</vt:lpwstr>
  </property>
  <property fmtid="{D5CDD505-2E9C-101B-9397-08002B2CF9AE}" pid="3" name="ICV">
    <vt:lpwstr>0C88AB50F61F4A96942008F3E7050917_13</vt:lpwstr>
  </property>
  <property fmtid="{D5CDD505-2E9C-101B-9397-08002B2CF9AE}" pid="4" name="KSOTemplateDocerSaveRecord">
    <vt:lpwstr>eyJoZGlkIjoiYzU4ODY0ZmU1NWY5ZjIwZDJiOGU3NDEzMGFkNTk4NGUiLCJ1c2VySWQiOiIzOTYwMzY4NjUifQ==</vt:lpwstr>
  </property>
</Properties>
</file>