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绿岛湖院区医疗配套服务用房招租采购需求书</w:t>
      </w:r>
    </w:p>
    <w:p>
      <w:pPr>
        <w:pStyle w:val="2"/>
        <w:rPr>
          <w:rFonts w:hint="eastAsia"/>
        </w:rPr>
      </w:pPr>
    </w:p>
    <w:p>
      <w:pPr>
        <w:spacing w:line="360" w:lineRule="auto"/>
        <w:jc w:val="center"/>
        <w:outlineLvl w:val="1"/>
        <w:rPr>
          <w:rFonts w:hint="eastAsia" w:ascii="仿宋" w:hAnsi="仿宋" w:eastAsia="仿宋"/>
          <w:b/>
          <w:color w:val="000000"/>
          <w:sz w:val="28"/>
          <w:szCs w:val="28"/>
          <w:shd w:val="clear" w:color="auto" w:fill="FFFFFF"/>
        </w:rPr>
      </w:pPr>
      <w:bookmarkStart w:id="0" w:name="OLE_LINK1"/>
      <w:r>
        <w:rPr>
          <w:rFonts w:hint="eastAsia" w:ascii="仿宋" w:hAnsi="仿宋" w:eastAsia="仿宋"/>
          <w:b/>
          <w:color w:val="000000"/>
          <w:sz w:val="28"/>
          <w:szCs w:val="28"/>
          <w:shd w:val="clear" w:color="auto" w:fill="FFFFFF"/>
        </w:rPr>
        <w:t>一、采购项目供应商资格要求</w:t>
      </w:r>
    </w:p>
    <w:p>
      <w:pPr>
        <w:spacing w:line="360" w:lineRule="auto"/>
        <w:ind w:firstLine="560" w:firstLineChars="200"/>
        <w:jc w:val="left"/>
        <w:rPr>
          <w:rFonts w:hint="eastAsia" w:ascii="仿宋" w:hAnsi="仿宋" w:eastAsia="仿宋"/>
          <w:bCs/>
          <w:color w:val="000000"/>
          <w:sz w:val="28"/>
          <w:szCs w:val="28"/>
          <w:shd w:val="clear" w:color="auto" w:fill="FFFFFF"/>
        </w:rPr>
      </w:pPr>
      <w:r>
        <w:rPr>
          <w:rFonts w:hint="eastAsia" w:ascii="仿宋" w:hAnsi="仿宋" w:eastAsia="仿宋"/>
          <w:bCs/>
          <w:color w:val="000000"/>
          <w:sz w:val="28"/>
          <w:szCs w:val="28"/>
          <w:shd w:val="clear" w:color="auto" w:fill="FFFFFF"/>
        </w:rPr>
        <w:t>1.供应商必须符合《中华人民共和国政府采购法》第二十二条规定的条件；</w:t>
      </w:r>
    </w:p>
    <w:p>
      <w:pPr>
        <w:snapToGrid w:val="0"/>
        <w:spacing w:line="360" w:lineRule="auto"/>
        <w:ind w:firstLine="560" w:firstLineChars="200"/>
        <w:jc w:val="left"/>
        <w:rPr>
          <w:rFonts w:hint="eastAsia" w:ascii="仿宋" w:hAnsi="仿宋" w:eastAsia="仿宋"/>
          <w:bCs/>
          <w:color w:val="000000"/>
          <w:sz w:val="28"/>
          <w:szCs w:val="28"/>
        </w:rPr>
      </w:pPr>
      <w:r>
        <w:rPr>
          <w:rFonts w:hint="eastAsia" w:ascii="仿宋" w:hAnsi="仿宋" w:eastAsia="仿宋"/>
          <w:bCs/>
          <w:color w:val="000000"/>
          <w:sz w:val="28"/>
          <w:szCs w:val="28"/>
          <w:shd w:val="clear" w:color="auto" w:fill="FFFFFF"/>
        </w:rPr>
        <w:t>2.供</w:t>
      </w:r>
      <w:r>
        <w:rPr>
          <w:rFonts w:hint="eastAsia" w:ascii="仿宋" w:hAnsi="仿宋" w:eastAsia="仿宋"/>
          <w:bCs/>
          <w:color w:val="000000"/>
          <w:sz w:val="28"/>
          <w:szCs w:val="28"/>
        </w:rPr>
        <w:t>应商是具有独立承担民事责任能力的，在中华人民共和国境内注册的法人，且具备从事本项目经营范围和能力；</w:t>
      </w:r>
    </w:p>
    <w:p>
      <w:pPr>
        <w:snapToGrid w:val="0"/>
        <w:spacing w:line="360" w:lineRule="auto"/>
        <w:ind w:firstLine="560" w:firstLineChars="200"/>
        <w:jc w:val="left"/>
        <w:rPr>
          <w:rFonts w:hint="eastAsia" w:ascii="仿宋" w:hAnsi="仿宋" w:eastAsia="仿宋"/>
          <w:bCs/>
          <w:color w:val="000000"/>
          <w:sz w:val="28"/>
          <w:szCs w:val="28"/>
        </w:rPr>
      </w:pPr>
      <w:r>
        <w:rPr>
          <w:rFonts w:hint="eastAsia" w:ascii="仿宋" w:hAnsi="仿宋" w:eastAsia="仿宋"/>
          <w:bCs/>
          <w:color w:val="000000"/>
          <w:sz w:val="28"/>
          <w:szCs w:val="28"/>
        </w:rPr>
        <w:t>3.供应商（含其授权的下属单位、分支机构）近三年内在经营活动中没有重大违法行为。重大违法记录，是指供应商因违法经营受到刑事处罚或者责令停产停业、吊销许可证或者执照、较大数额 罚款等行政处罚；（较大数额罚款按照发出行政处罚决定书部门所在省级政府，或实行垂直领导的国务院有关行政主管部门制 定的较大数额罚款标准，或罚款决定之前需要举行听证会的金额标准来认定）</w:t>
      </w:r>
    </w:p>
    <w:p>
      <w:pPr>
        <w:pStyle w:val="2"/>
        <w:rPr>
          <w:rFonts w:hint="eastAsia" w:ascii="仿宋" w:hAnsi="仿宋" w:eastAsia="仿宋"/>
          <w:color w:val="000000"/>
          <w:spacing w:val="0"/>
          <w:sz w:val="28"/>
          <w:szCs w:val="28"/>
        </w:rPr>
      </w:pPr>
      <w:r>
        <w:rPr>
          <w:rFonts w:hint="eastAsia" w:ascii="仿宋" w:hAnsi="仿宋" w:eastAsia="仿宋"/>
          <w:color w:val="000000"/>
          <w:sz w:val="28"/>
          <w:szCs w:val="28"/>
        </w:rPr>
        <w:t xml:space="preserve">   </w:t>
      </w:r>
      <w:r>
        <w:rPr>
          <w:rFonts w:hint="eastAsia" w:ascii="仿宋" w:hAnsi="仿宋" w:eastAsia="仿宋"/>
          <w:color w:val="000000"/>
          <w:spacing w:val="0"/>
          <w:sz w:val="28"/>
          <w:szCs w:val="28"/>
        </w:rPr>
        <w:t>4.本项目不接受联合体参加。</w:t>
      </w:r>
    </w:p>
    <w:bookmarkEnd w:id="0"/>
    <w:p>
      <w:pPr>
        <w:pStyle w:val="2"/>
        <w:rPr>
          <w:rFonts w:hint="eastAsia" w:ascii="仿宋" w:hAnsi="仿宋" w:eastAsia="仿宋"/>
          <w:color w:val="000000"/>
          <w:spacing w:val="0"/>
          <w:sz w:val="28"/>
          <w:szCs w:val="28"/>
        </w:rPr>
      </w:pPr>
    </w:p>
    <w:p>
      <w:pPr>
        <w:spacing w:line="360" w:lineRule="auto"/>
        <w:ind w:firstLine="562" w:firstLineChars="200"/>
        <w:jc w:val="center"/>
        <w:outlineLvl w:val="1"/>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二、采购项目技术要求</w:t>
      </w:r>
    </w:p>
    <w:p>
      <w:pPr>
        <w:snapToGrid w:val="0"/>
        <w:spacing w:line="360" w:lineRule="auto"/>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（一）项目简介</w:t>
      </w:r>
    </w:p>
    <w:p>
      <w:pPr>
        <w:spacing w:line="360" w:lineRule="auto"/>
        <w:ind w:firstLine="560" w:firstLineChars="200"/>
        <w:jc w:val="left"/>
        <w:rPr>
          <w:rFonts w:hint="default" w:ascii="仿宋" w:hAnsi="仿宋" w:eastAsia="仿宋"/>
          <w:bCs/>
          <w:color w:val="000000"/>
          <w:sz w:val="28"/>
          <w:szCs w:val="28"/>
          <w:shd w:val="clear" w:color="auto" w:fill="FFFFFF"/>
          <w:lang w:val="en-US" w:eastAsia="zh-CN"/>
        </w:rPr>
      </w:pPr>
      <w:r>
        <w:rPr>
          <w:rFonts w:hint="eastAsia" w:ascii="仿宋" w:hAnsi="仿宋" w:eastAsia="仿宋"/>
          <w:bCs/>
          <w:color w:val="000000"/>
          <w:sz w:val="28"/>
          <w:szCs w:val="28"/>
          <w:shd w:val="clear" w:color="auto" w:fill="FFFFFF"/>
          <w:lang w:val="en-US" w:eastAsia="zh-CN"/>
        </w:rPr>
        <w:t>本项目为佛山市第二人民医院绿岛湖院区医疗配套服务用房招租服务。针对绿岛湖院区B1地下落客大厅5间商铺，拟遴选一家供应商进行承租，中标供应商的经营范围须与采购文件要求一致。</w:t>
      </w:r>
    </w:p>
    <w:p>
      <w:pPr>
        <w:pStyle w:val="2"/>
      </w:pPr>
    </w:p>
    <w:p>
      <w:pPr>
        <w:snapToGrid w:val="0"/>
        <w:spacing w:line="360" w:lineRule="auto"/>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（二）招租标的基本情况</w:t>
      </w:r>
    </w:p>
    <w:tbl>
      <w:tblPr>
        <w:tblStyle w:val="18"/>
        <w:tblW w:w="7931" w:type="dxa"/>
        <w:jc w:val="center"/>
        <w:tblInd w:w="-846" w:type="dxa"/>
        <w:tblLayout w:type="fixed"/>
        <w:tblCellMar>
          <w:top w:w="15" w:type="dxa"/>
          <w:left w:w="15" w:type="dxa"/>
          <w:bottom w:w="15" w:type="dxa"/>
          <w:right w:w="15" w:type="dxa"/>
        </w:tblCellMar>
      </w:tblPr>
      <w:tblGrid>
        <w:gridCol w:w="1495"/>
        <w:gridCol w:w="1214"/>
        <w:gridCol w:w="885"/>
        <w:gridCol w:w="750"/>
        <w:gridCol w:w="1335"/>
        <w:gridCol w:w="1545"/>
        <w:gridCol w:w="707"/>
      </w:tblGrid>
      <w:tr>
        <w:tblPrEx>
          <w:tblLayout w:type="fixed"/>
          <w:tblCellMar>
            <w:top w:w="15" w:type="dxa"/>
            <w:left w:w="15" w:type="dxa"/>
            <w:bottom w:w="15" w:type="dxa"/>
            <w:right w:w="15" w:type="dxa"/>
          </w:tblCellMar>
        </w:tblPrEx>
        <w:trPr>
          <w:trHeight w:val="888" w:hRule="atLeast"/>
          <w:jc w:val="center"/>
        </w:trPr>
        <w:tc>
          <w:tcPr>
            <w:tcW w:w="149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rPr>
            </w:pPr>
            <w:r>
              <w:rPr>
                <w:rFonts w:hint="eastAsia" w:ascii="仿宋" w:hAnsi="仿宋" w:eastAsia="仿宋" w:cs="仿宋"/>
                <w:b/>
                <w:sz w:val="22"/>
                <w:szCs w:val="22"/>
              </w:rPr>
              <w:t>标的号</w:t>
            </w:r>
          </w:p>
        </w:tc>
        <w:tc>
          <w:tcPr>
            <w:tcW w:w="1214"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rPr>
            </w:pPr>
            <w:r>
              <w:rPr>
                <w:rFonts w:hint="eastAsia" w:ascii="仿宋" w:hAnsi="仿宋" w:eastAsia="仿宋" w:cs="仿宋"/>
                <w:b/>
                <w:sz w:val="22"/>
                <w:szCs w:val="22"/>
              </w:rPr>
              <w:t>地址</w:t>
            </w:r>
          </w:p>
        </w:tc>
        <w:tc>
          <w:tcPr>
            <w:tcW w:w="885"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rPr>
            </w:pPr>
            <w:r>
              <w:rPr>
                <w:rFonts w:hint="eastAsia" w:ascii="仿宋" w:hAnsi="仿宋" w:eastAsia="仿宋" w:cs="仿宋"/>
                <w:b/>
                <w:sz w:val="22"/>
                <w:szCs w:val="22"/>
              </w:rPr>
              <w:t>面积</w:t>
            </w:r>
          </w:p>
          <w:p>
            <w:pPr>
              <w:pStyle w:val="2"/>
              <w:jc w:val="center"/>
              <w:rPr>
                <w:rFonts w:hint="eastAsia" w:ascii="仿宋" w:hAnsi="仿宋" w:eastAsia="仿宋" w:cs="仿宋"/>
                <w:sz w:val="22"/>
                <w:szCs w:val="22"/>
              </w:rPr>
            </w:pPr>
            <w:r>
              <w:rPr>
                <w:rFonts w:hint="eastAsia" w:ascii="仿宋" w:hAnsi="仿宋" w:eastAsia="仿宋" w:cs="仿宋"/>
                <w:b/>
                <w:sz w:val="22"/>
                <w:szCs w:val="22"/>
              </w:rPr>
              <w:t>（㎡）</w:t>
            </w:r>
          </w:p>
        </w:tc>
        <w:tc>
          <w:tcPr>
            <w:tcW w:w="750" w:type="dxa"/>
            <w:tcBorders>
              <w:top w:val="single" w:color="000000" w:sz="8" w:space="0"/>
              <w:left w:val="nil"/>
              <w:bottom w:val="single" w:color="000000" w:sz="8" w:space="0"/>
              <w:right w:val="nil"/>
            </w:tcBorders>
            <w:vAlign w:val="center"/>
          </w:tcPr>
          <w:p>
            <w:pPr>
              <w:pStyle w:val="2"/>
              <w:jc w:val="center"/>
              <w:rPr>
                <w:rFonts w:hint="eastAsia" w:ascii="仿宋" w:hAnsi="仿宋" w:eastAsia="仿宋" w:cs="仿宋"/>
                <w:b/>
                <w:sz w:val="22"/>
                <w:szCs w:val="22"/>
              </w:rPr>
            </w:pPr>
            <w:r>
              <w:rPr>
                <w:rFonts w:hint="eastAsia" w:ascii="仿宋" w:hAnsi="仿宋" w:eastAsia="仿宋" w:cs="仿宋"/>
                <w:b/>
                <w:sz w:val="22"/>
                <w:szCs w:val="22"/>
              </w:rPr>
              <w:t>出租期限</w:t>
            </w:r>
          </w:p>
        </w:tc>
        <w:tc>
          <w:tcPr>
            <w:tcW w:w="1335"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rPr>
            </w:pPr>
            <w:r>
              <w:rPr>
                <w:rFonts w:hint="eastAsia" w:ascii="仿宋" w:hAnsi="仿宋" w:eastAsia="仿宋" w:cs="仿宋"/>
                <w:b/>
                <w:sz w:val="22"/>
                <w:szCs w:val="22"/>
              </w:rPr>
              <w:t>经营范围</w:t>
            </w:r>
          </w:p>
        </w:tc>
        <w:tc>
          <w:tcPr>
            <w:tcW w:w="1545"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b/>
                <w:sz w:val="22"/>
                <w:szCs w:val="22"/>
              </w:rPr>
            </w:pPr>
            <w:r>
              <w:rPr>
                <w:rFonts w:hint="eastAsia" w:ascii="仿宋" w:hAnsi="仿宋" w:eastAsia="仿宋" w:cs="仿宋"/>
                <w:b/>
                <w:sz w:val="22"/>
                <w:szCs w:val="22"/>
              </w:rPr>
              <w:t>现状</w:t>
            </w:r>
            <w:r>
              <w:rPr>
                <w:rFonts w:hint="eastAsia" w:ascii="仿宋" w:hAnsi="仿宋" w:eastAsia="仿宋" w:cs="仿宋"/>
                <w:b/>
                <w:sz w:val="22"/>
                <w:szCs w:val="22"/>
                <w:lang w:val="en-US" w:eastAsia="zh-CN"/>
              </w:rPr>
              <w:t>及配置</w:t>
            </w:r>
          </w:p>
        </w:tc>
        <w:tc>
          <w:tcPr>
            <w:tcW w:w="70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rPr>
            </w:pPr>
            <w:r>
              <w:rPr>
                <w:rFonts w:hint="eastAsia" w:ascii="仿宋" w:hAnsi="仿宋" w:eastAsia="仿宋" w:cs="仿宋"/>
                <w:b/>
                <w:sz w:val="22"/>
                <w:szCs w:val="22"/>
              </w:rPr>
              <w:t>备注</w:t>
            </w:r>
          </w:p>
        </w:tc>
      </w:tr>
    </w:tbl>
    <w:p>
      <w:pPr>
        <w:pStyle w:val="2"/>
        <w:jc w:val="center"/>
        <w:rPr>
          <w:rFonts w:hint="eastAsia" w:ascii="仿宋" w:hAnsi="仿宋" w:eastAsia="仿宋" w:cs="仿宋"/>
          <w:sz w:val="22"/>
          <w:szCs w:val="22"/>
        </w:rPr>
      </w:pPr>
      <w:r>
        <w:rPr>
          <w:rFonts w:hint="eastAsia" w:ascii="仿宋" w:hAnsi="仿宋" w:eastAsia="仿宋" w:cs="仿宋"/>
          <w:sz w:val="22"/>
          <w:szCs w:val="22"/>
        </w:rPr>
        <w:br w:type="page"/>
      </w:r>
    </w:p>
    <w:tbl>
      <w:tblPr>
        <w:tblStyle w:val="18"/>
        <w:tblW w:w="7085" w:type="dxa"/>
        <w:jc w:val="center"/>
        <w:tblInd w:w="0" w:type="dxa"/>
        <w:tblLayout w:type="fixed"/>
        <w:tblCellMar>
          <w:top w:w="15" w:type="dxa"/>
          <w:left w:w="15" w:type="dxa"/>
          <w:bottom w:w="15" w:type="dxa"/>
          <w:right w:w="15" w:type="dxa"/>
        </w:tblCellMar>
      </w:tblPr>
      <w:tblGrid>
        <w:gridCol w:w="649"/>
        <w:gridCol w:w="1214"/>
        <w:gridCol w:w="885"/>
        <w:gridCol w:w="750"/>
        <w:gridCol w:w="1335"/>
        <w:gridCol w:w="1545"/>
        <w:gridCol w:w="707"/>
      </w:tblGrid>
      <w:tr>
        <w:tblPrEx>
          <w:tblLayout w:type="fixed"/>
          <w:tblCellMar>
            <w:top w:w="15" w:type="dxa"/>
            <w:left w:w="15" w:type="dxa"/>
            <w:bottom w:w="15" w:type="dxa"/>
            <w:right w:w="15" w:type="dxa"/>
          </w:tblCellMar>
        </w:tblPrEx>
        <w:trPr>
          <w:trHeight w:val="1902" w:hRule="atLeast"/>
          <w:jc w:val="center"/>
        </w:trPr>
        <w:tc>
          <w:tcPr>
            <w:tcW w:w="649" w:type="dxa"/>
            <w:tcBorders>
              <w:top w:val="nil"/>
              <w:left w:val="single" w:color="000000" w:sz="8" w:space="0"/>
              <w:bottom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rPr>
            </w:pPr>
            <w:r>
              <w:rPr>
                <w:rFonts w:hint="eastAsia" w:ascii="仿宋" w:hAnsi="仿宋" w:eastAsia="仿宋" w:cs="仿宋"/>
                <w:sz w:val="22"/>
                <w:szCs w:val="22"/>
              </w:rPr>
              <w:t>1</w:t>
            </w:r>
          </w:p>
        </w:tc>
        <w:tc>
          <w:tcPr>
            <w:tcW w:w="1214" w:type="dxa"/>
            <w:tcBorders>
              <w:top w:val="nil"/>
              <w:left w:val="nil"/>
              <w:bottom w:val="nil"/>
              <w:right w:val="single" w:color="000000" w:sz="8" w:space="0"/>
            </w:tcBorders>
            <w:tcMar>
              <w:top w:w="0" w:type="dxa"/>
              <w:left w:w="108" w:type="dxa"/>
              <w:bottom w:w="0" w:type="dxa"/>
              <w:right w:w="108" w:type="dxa"/>
            </w:tcMar>
            <w:vAlign w:val="center"/>
          </w:tcPr>
          <w:p>
            <w:pPr>
              <w:pStyle w:val="2"/>
              <w:jc w:val="center"/>
              <w:rPr>
                <w:rFonts w:hint="default" w:ascii="仿宋" w:hAnsi="仿宋" w:eastAsia="仿宋" w:cs="仿宋"/>
                <w:sz w:val="22"/>
                <w:szCs w:val="22"/>
                <w:lang w:val="en-US" w:eastAsia="zh-CN"/>
              </w:rPr>
            </w:pPr>
            <w:r>
              <w:rPr>
                <w:rFonts w:hint="eastAsia" w:ascii="仿宋" w:hAnsi="仿宋" w:eastAsia="仿宋" w:cs="仿宋"/>
                <w:sz w:val="22"/>
                <w:szCs w:val="22"/>
              </w:rPr>
              <w:t>佛山市第二人民医院绿岛湖院区B1地下落客</w:t>
            </w:r>
            <w:r>
              <w:rPr>
                <w:rFonts w:hint="eastAsia" w:ascii="仿宋" w:hAnsi="仿宋" w:eastAsia="仿宋" w:cs="仿宋"/>
                <w:sz w:val="22"/>
                <w:szCs w:val="22"/>
                <w:lang w:val="en-US" w:eastAsia="zh-CN"/>
              </w:rPr>
              <w:t>大厅东侧商铺</w:t>
            </w:r>
          </w:p>
        </w:tc>
        <w:tc>
          <w:tcPr>
            <w:tcW w:w="885" w:type="dxa"/>
            <w:tcBorders>
              <w:top w:val="nil"/>
              <w:left w:val="nil"/>
              <w:bottom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rPr>
            </w:pPr>
            <w:r>
              <w:rPr>
                <w:rFonts w:hint="eastAsia" w:ascii="仿宋" w:hAnsi="仿宋" w:eastAsia="仿宋" w:cs="仿宋"/>
                <w:sz w:val="22"/>
                <w:szCs w:val="22"/>
              </w:rPr>
              <w:t>135</w:t>
            </w:r>
          </w:p>
        </w:tc>
        <w:tc>
          <w:tcPr>
            <w:tcW w:w="750" w:type="dxa"/>
            <w:tcBorders>
              <w:top w:val="nil"/>
              <w:left w:val="nil"/>
              <w:bottom w:val="nil"/>
              <w:right w:val="nil"/>
            </w:tcBorders>
            <w:vAlign w:val="center"/>
          </w:tcPr>
          <w:p>
            <w:pPr>
              <w:pStyle w:val="2"/>
              <w:jc w:val="center"/>
              <w:rPr>
                <w:rFonts w:hint="eastAsia" w:ascii="仿宋" w:hAnsi="仿宋" w:eastAsia="仿宋" w:cs="仿宋"/>
                <w:sz w:val="22"/>
                <w:szCs w:val="22"/>
              </w:rPr>
            </w:pPr>
            <w:r>
              <w:rPr>
                <w:rFonts w:hint="eastAsia" w:ascii="仿宋" w:hAnsi="仿宋" w:eastAsia="仿宋" w:cs="仿宋"/>
                <w:sz w:val="22"/>
                <w:szCs w:val="22"/>
              </w:rPr>
              <w:t>3年</w:t>
            </w:r>
          </w:p>
        </w:tc>
        <w:tc>
          <w:tcPr>
            <w:tcW w:w="1335" w:type="dxa"/>
            <w:tcBorders>
              <w:top w:val="nil"/>
              <w:left w:val="nil"/>
              <w:bottom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rPr>
            </w:pPr>
            <w:bookmarkStart w:id="1" w:name="_GoBack"/>
            <w:bookmarkEnd w:id="1"/>
            <w:r>
              <w:rPr>
                <w:rFonts w:hint="eastAsia" w:ascii="仿宋" w:hAnsi="仿宋" w:eastAsia="仿宋" w:cs="仿宋"/>
                <w:sz w:val="22"/>
                <w:szCs w:val="22"/>
                <w:lang w:val="en-US" w:eastAsia="zh-CN"/>
              </w:rPr>
              <w:t>综合性便利店</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提供</w:t>
            </w:r>
            <w:r>
              <w:rPr>
                <w:rFonts w:hint="eastAsia" w:ascii="仿宋" w:hAnsi="仿宋" w:eastAsia="仿宋" w:cs="仿宋"/>
                <w:sz w:val="21"/>
                <w:szCs w:val="21"/>
              </w:rPr>
              <w:t>副食百货、</w:t>
            </w:r>
            <w:r>
              <w:rPr>
                <w:rFonts w:hint="eastAsia" w:ascii="仿宋" w:hAnsi="仿宋" w:eastAsia="仿宋" w:cs="仿宋"/>
                <w:sz w:val="21"/>
                <w:szCs w:val="21"/>
                <w:lang w:val="en-US" w:eastAsia="zh-CN"/>
              </w:rPr>
              <w:t>简单餐饮、</w:t>
            </w:r>
            <w:r>
              <w:rPr>
                <w:rFonts w:hint="eastAsia" w:ascii="仿宋" w:hAnsi="仿宋" w:eastAsia="仿宋" w:cs="仿宋"/>
                <w:sz w:val="21"/>
                <w:szCs w:val="21"/>
              </w:rPr>
              <w:t>日用杂品、生活用品</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不得售卖烟、酒、药品医疗设备及及国家违禁食品和商品</w:t>
            </w:r>
            <w:r>
              <w:rPr>
                <w:rFonts w:hint="eastAsia" w:ascii="仿宋" w:hAnsi="仿宋" w:eastAsia="仿宋" w:cs="仿宋"/>
                <w:sz w:val="21"/>
                <w:szCs w:val="21"/>
                <w:lang w:eastAsia="zh-CN"/>
              </w:rPr>
              <w:t>）</w:t>
            </w:r>
          </w:p>
        </w:tc>
        <w:tc>
          <w:tcPr>
            <w:tcW w:w="1545" w:type="dxa"/>
            <w:tcBorders>
              <w:top w:val="nil"/>
              <w:left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商铺现状：</w:t>
            </w:r>
            <w:r>
              <w:rPr>
                <w:rFonts w:hint="eastAsia" w:ascii="仿宋" w:hAnsi="仿宋" w:eastAsia="仿宋" w:cs="仿宋"/>
                <w:sz w:val="22"/>
                <w:szCs w:val="22"/>
              </w:rPr>
              <w:t>空置</w:t>
            </w:r>
            <w:r>
              <w:rPr>
                <w:rFonts w:hint="eastAsia" w:ascii="仿宋" w:hAnsi="仿宋" w:eastAsia="仿宋" w:cs="仿宋"/>
                <w:sz w:val="22"/>
                <w:szCs w:val="22"/>
                <w:lang w:eastAsia="zh-CN"/>
              </w:rPr>
              <w:t>；</w:t>
            </w:r>
          </w:p>
          <w:p>
            <w:pPr>
              <w:pStyle w:val="2"/>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餐饮排烟：预留排烟管道；</w:t>
            </w:r>
          </w:p>
          <w:p>
            <w:pPr>
              <w:pStyle w:val="2"/>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餐饮排污：预留排水口，租户自行配置隔油池，隔油隔渣后排放；</w:t>
            </w:r>
          </w:p>
          <w:p>
            <w:pPr>
              <w:pStyle w:val="2"/>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给排水、用电：预留给水口及电源接口；空调：标配。</w:t>
            </w:r>
          </w:p>
        </w:tc>
        <w:tc>
          <w:tcPr>
            <w:tcW w:w="707" w:type="dxa"/>
            <w:vMerge w:val="restart"/>
            <w:tcBorders>
              <w:top w:val="nil"/>
              <w:left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rPr>
            </w:pPr>
            <w:r>
              <w:rPr>
                <w:rFonts w:hint="eastAsia" w:ascii="仿宋" w:hAnsi="仿宋" w:eastAsia="仿宋" w:cs="仿宋"/>
                <w:sz w:val="22"/>
                <w:szCs w:val="22"/>
              </w:rPr>
              <w:t>本标的按现状交接，实际面积</w:t>
            </w:r>
            <w:r>
              <w:rPr>
                <w:rFonts w:hint="eastAsia" w:ascii="仿宋" w:hAnsi="仿宋" w:eastAsia="仿宋" w:cs="仿宋"/>
                <w:sz w:val="22"/>
                <w:szCs w:val="22"/>
                <w:lang w:val="en-US" w:eastAsia="zh-CN"/>
              </w:rPr>
              <w:t>可能有误差，</w:t>
            </w:r>
            <w:r>
              <w:rPr>
                <w:rFonts w:hint="eastAsia" w:ascii="仿宋" w:hAnsi="仿宋" w:eastAsia="仿宋" w:cs="仿宋"/>
                <w:sz w:val="22"/>
                <w:szCs w:val="22"/>
              </w:rPr>
              <w:t>租金不作调整。</w:t>
            </w:r>
          </w:p>
        </w:tc>
      </w:tr>
      <w:tr>
        <w:tblPrEx>
          <w:tblLayout w:type="fixed"/>
          <w:tblCellMar>
            <w:top w:w="15" w:type="dxa"/>
            <w:left w:w="15" w:type="dxa"/>
            <w:bottom w:w="15" w:type="dxa"/>
            <w:right w:w="15" w:type="dxa"/>
          </w:tblCellMar>
        </w:tblPrEx>
        <w:trPr>
          <w:trHeight w:val="1902" w:hRule="atLeast"/>
          <w:jc w:val="center"/>
        </w:trPr>
        <w:tc>
          <w:tcPr>
            <w:tcW w:w="649" w:type="dxa"/>
            <w:tcBorders>
              <w:top w:val="nil"/>
              <w:left w:val="single" w:color="000000" w:sz="8" w:space="0"/>
              <w:bottom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rPr>
            </w:pPr>
            <w:r>
              <w:rPr>
                <w:rFonts w:hint="eastAsia" w:ascii="仿宋" w:hAnsi="仿宋" w:eastAsia="仿宋" w:cs="仿宋"/>
                <w:sz w:val="22"/>
                <w:szCs w:val="22"/>
                <w:lang w:val="en-US" w:eastAsia="zh-CN"/>
              </w:rPr>
              <w:t>2</w:t>
            </w:r>
          </w:p>
        </w:tc>
        <w:tc>
          <w:tcPr>
            <w:tcW w:w="1214" w:type="dxa"/>
            <w:tcBorders>
              <w:top w:val="nil"/>
              <w:left w:val="nil"/>
              <w:bottom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rPr>
            </w:pPr>
            <w:r>
              <w:rPr>
                <w:rFonts w:hint="eastAsia" w:ascii="仿宋" w:hAnsi="仿宋" w:eastAsia="仿宋" w:cs="仿宋"/>
                <w:sz w:val="22"/>
                <w:szCs w:val="22"/>
              </w:rPr>
              <w:t>佛山市第二人民医院绿岛湖院区B1地下落客</w:t>
            </w:r>
            <w:r>
              <w:rPr>
                <w:rFonts w:hint="eastAsia" w:ascii="仿宋" w:hAnsi="仿宋" w:eastAsia="仿宋" w:cs="仿宋"/>
                <w:sz w:val="22"/>
                <w:szCs w:val="22"/>
                <w:lang w:val="en-US" w:eastAsia="zh-CN"/>
              </w:rPr>
              <w:t>大厅南侧商铺</w:t>
            </w:r>
          </w:p>
        </w:tc>
        <w:tc>
          <w:tcPr>
            <w:tcW w:w="885" w:type="dxa"/>
            <w:tcBorders>
              <w:top w:val="nil"/>
              <w:left w:val="nil"/>
              <w:bottom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rPr>
            </w:pPr>
            <w:r>
              <w:rPr>
                <w:rFonts w:hint="eastAsia" w:ascii="仿宋" w:hAnsi="仿宋" w:eastAsia="仿宋" w:cs="仿宋"/>
                <w:sz w:val="22"/>
                <w:szCs w:val="22"/>
                <w:lang w:val="en-US" w:eastAsia="zh-CN"/>
              </w:rPr>
              <w:t>160</w:t>
            </w:r>
          </w:p>
        </w:tc>
        <w:tc>
          <w:tcPr>
            <w:tcW w:w="750" w:type="dxa"/>
            <w:tcBorders>
              <w:top w:val="nil"/>
              <w:left w:val="nil"/>
              <w:bottom w:val="nil"/>
              <w:right w:val="nil"/>
            </w:tcBorders>
            <w:vAlign w:val="center"/>
          </w:tcPr>
          <w:p>
            <w:pPr>
              <w:pStyle w:val="2"/>
              <w:jc w:val="center"/>
              <w:rPr>
                <w:rFonts w:hint="eastAsia" w:ascii="仿宋" w:hAnsi="仿宋" w:eastAsia="仿宋" w:cs="仿宋"/>
                <w:sz w:val="22"/>
                <w:szCs w:val="22"/>
              </w:rPr>
            </w:pPr>
            <w:r>
              <w:rPr>
                <w:rFonts w:hint="eastAsia" w:ascii="仿宋" w:hAnsi="仿宋" w:eastAsia="仿宋" w:cs="仿宋"/>
                <w:sz w:val="22"/>
                <w:szCs w:val="22"/>
                <w:lang w:val="en-US" w:eastAsia="zh-CN"/>
              </w:rPr>
              <w:t>3年</w:t>
            </w:r>
          </w:p>
        </w:tc>
        <w:tc>
          <w:tcPr>
            <w:tcW w:w="1335" w:type="dxa"/>
            <w:tcBorders>
              <w:top w:val="nil"/>
              <w:left w:val="nil"/>
              <w:bottom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rPr>
            </w:pPr>
            <w:r>
              <w:rPr>
                <w:rFonts w:hint="eastAsia" w:ascii="仿宋" w:hAnsi="仿宋" w:eastAsia="仿宋" w:cs="仿宋"/>
                <w:sz w:val="22"/>
                <w:szCs w:val="22"/>
              </w:rPr>
              <w:t>简餐店</w:t>
            </w:r>
          </w:p>
          <w:p>
            <w:pPr>
              <w:pStyle w:val="2"/>
              <w:jc w:val="center"/>
              <w:rPr>
                <w:rFonts w:hint="eastAsia" w:ascii="仿宋" w:hAnsi="仿宋" w:eastAsia="仿宋" w:cs="仿宋"/>
                <w:sz w:val="22"/>
                <w:szCs w:val="22"/>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提供预制类、简单加工的各类食品餐饮服务，禁止产生大量油烟、异味或有害气体的食品制作和销售</w:t>
            </w:r>
            <w:r>
              <w:rPr>
                <w:rFonts w:hint="eastAsia" w:ascii="仿宋" w:hAnsi="仿宋" w:eastAsia="仿宋" w:cs="仿宋"/>
                <w:sz w:val="21"/>
                <w:szCs w:val="21"/>
                <w:lang w:eastAsia="zh-CN"/>
              </w:rPr>
              <w:t>）</w:t>
            </w:r>
          </w:p>
        </w:tc>
        <w:tc>
          <w:tcPr>
            <w:tcW w:w="1545" w:type="dxa"/>
            <w:tcBorders>
              <w:left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商铺现状：</w:t>
            </w:r>
            <w:r>
              <w:rPr>
                <w:rFonts w:hint="eastAsia" w:ascii="仿宋" w:hAnsi="仿宋" w:eastAsia="仿宋" w:cs="仿宋"/>
                <w:sz w:val="22"/>
                <w:szCs w:val="22"/>
              </w:rPr>
              <w:t>空置</w:t>
            </w:r>
            <w:r>
              <w:rPr>
                <w:rFonts w:hint="eastAsia" w:ascii="仿宋" w:hAnsi="仿宋" w:eastAsia="仿宋" w:cs="仿宋"/>
                <w:sz w:val="22"/>
                <w:szCs w:val="22"/>
                <w:lang w:eastAsia="zh-CN"/>
              </w:rPr>
              <w:t>；</w:t>
            </w:r>
          </w:p>
          <w:p>
            <w:pPr>
              <w:pStyle w:val="2"/>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餐饮排烟：预留排烟管道；</w:t>
            </w:r>
          </w:p>
          <w:p>
            <w:pPr>
              <w:pStyle w:val="2"/>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餐饮排污：预留排水口，租户自行配置隔油池，隔油隔渣后排放；</w:t>
            </w:r>
          </w:p>
          <w:p>
            <w:pPr>
              <w:pStyle w:val="2"/>
              <w:jc w:val="center"/>
              <w:rPr>
                <w:rFonts w:hint="eastAsia" w:ascii="仿宋" w:hAnsi="仿宋" w:eastAsia="仿宋" w:cs="仿宋"/>
                <w:sz w:val="21"/>
                <w:szCs w:val="21"/>
                <w:lang w:eastAsia="zh-CN"/>
              </w:rPr>
            </w:pPr>
            <w:r>
              <w:rPr>
                <w:rFonts w:hint="eastAsia" w:ascii="仿宋" w:hAnsi="仿宋" w:eastAsia="仿宋" w:cs="仿宋"/>
                <w:sz w:val="22"/>
                <w:szCs w:val="22"/>
                <w:lang w:val="en-US" w:eastAsia="zh-CN"/>
              </w:rPr>
              <w:t>给排水、用电：预留给水口及电源接口；空调：标配。</w:t>
            </w:r>
          </w:p>
        </w:tc>
        <w:tc>
          <w:tcPr>
            <w:tcW w:w="707" w:type="dxa"/>
            <w:vMerge w:val="continue"/>
            <w:tcBorders>
              <w:left w:val="nil"/>
              <w:right w:val="single" w:color="000000" w:sz="8" w:space="0"/>
            </w:tcBorders>
            <w:tcMar>
              <w:top w:w="0" w:type="dxa"/>
              <w:left w:w="108" w:type="dxa"/>
              <w:bottom w:w="0" w:type="dxa"/>
              <w:right w:w="108" w:type="dxa"/>
            </w:tcMar>
            <w:vAlign w:val="center"/>
          </w:tcPr>
          <w:p>
            <w:pPr>
              <w:pStyle w:val="2"/>
              <w:jc w:val="center"/>
              <w:rPr>
                <w:sz w:val="22"/>
                <w:szCs w:val="22"/>
              </w:rPr>
            </w:pPr>
          </w:p>
        </w:tc>
      </w:tr>
      <w:tr>
        <w:tblPrEx>
          <w:tblLayout w:type="fixed"/>
          <w:tblCellMar>
            <w:top w:w="15" w:type="dxa"/>
            <w:left w:w="15" w:type="dxa"/>
            <w:bottom w:w="15" w:type="dxa"/>
            <w:right w:w="15" w:type="dxa"/>
          </w:tblCellMar>
        </w:tblPrEx>
        <w:trPr>
          <w:trHeight w:val="1902" w:hRule="atLeast"/>
          <w:jc w:val="center"/>
        </w:trPr>
        <w:tc>
          <w:tcPr>
            <w:tcW w:w="649" w:type="dxa"/>
            <w:tcBorders>
              <w:top w:val="nil"/>
              <w:left w:val="single" w:color="000000" w:sz="8" w:space="0"/>
              <w:bottom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3</w:t>
            </w:r>
          </w:p>
        </w:tc>
        <w:tc>
          <w:tcPr>
            <w:tcW w:w="1214" w:type="dxa"/>
            <w:tcBorders>
              <w:top w:val="nil"/>
              <w:left w:val="nil"/>
              <w:bottom w:val="nil"/>
              <w:right w:val="single" w:color="000000" w:sz="8" w:space="0"/>
            </w:tcBorders>
            <w:tcMar>
              <w:top w:w="0" w:type="dxa"/>
              <w:left w:w="108" w:type="dxa"/>
              <w:bottom w:w="0" w:type="dxa"/>
              <w:right w:w="108" w:type="dxa"/>
            </w:tcMar>
            <w:vAlign w:val="center"/>
          </w:tcPr>
          <w:p>
            <w:pPr>
              <w:pStyle w:val="2"/>
              <w:jc w:val="center"/>
              <w:rPr>
                <w:rFonts w:hint="default" w:ascii="仿宋" w:hAnsi="仿宋" w:eastAsia="仿宋" w:cs="仿宋"/>
                <w:sz w:val="22"/>
                <w:szCs w:val="22"/>
                <w:lang w:val="en-US"/>
              </w:rPr>
            </w:pPr>
            <w:r>
              <w:rPr>
                <w:rFonts w:hint="eastAsia" w:ascii="仿宋" w:hAnsi="仿宋" w:eastAsia="仿宋" w:cs="仿宋"/>
                <w:sz w:val="22"/>
                <w:szCs w:val="22"/>
              </w:rPr>
              <w:t>佛山市第二人民医院绿岛湖院区B1地下落客</w:t>
            </w:r>
            <w:r>
              <w:rPr>
                <w:rFonts w:hint="eastAsia" w:ascii="仿宋" w:hAnsi="仿宋" w:eastAsia="仿宋" w:cs="仿宋"/>
                <w:sz w:val="22"/>
                <w:szCs w:val="22"/>
                <w:lang w:val="en-US" w:eastAsia="zh-CN"/>
              </w:rPr>
              <w:t>大厅西侧商铺1</w:t>
            </w:r>
          </w:p>
        </w:tc>
        <w:tc>
          <w:tcPr>
            <w:tcW w:w="885" w:type="dxa"/>
            <w:tcBorders>
              <w:top w:val="nil"/>
              <w:left w:val="nil"/>
              <w:bottom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rPr>
            </w:pPr>
            <w:r>
              <w:rPr>
                <w:rFonts w:hint="eastAsia" w:ascii="仿宋" w:hAnsi="仿宋" w:eastAsia="仿宋" w:cs="仿宋"/>
                <w:sz w:val="22"/>
                <w:szCs w:val="22"/>
              </w:rPr>
              <w:t>45</w:t>
            </w:r>
          </w:p>
        </w:tc>
        <w:tc>
          <w:tcPr>
            <w:tcW w:w="750" w:type="dxa"/>
            <w:tcBorders>
              <w:top w:val="nil"/>
              <w:left w:val="nil"/>
              <w:bottom w:val="nil"/>
              <w:right w:val="nil"/>
            </w:tcBorders>
            <w:vAlign w:val="center"/>
          </w:tcPr>
          <w:p>
            <w:pPr>
              <w:pStyle w:val="2"/>
              <w:jc w:val="center"/>
              <w:rPr>
                <w:rFonts w:hint="eastAsia" w:ascii="仿宋" w:hAnsi="仿宋" w:eastAsia="仿宋" w:cs="仿宋"/>
                <w:sz w:val="22"/>
                <w:szCs w:val="22"/>
              </w:rPr>
            </w:pPr>
            <w:r>
              <w:rPr>
                <w:rFonts w:hint="eastAsia" w:ascii="仿宋" w:hAnsi="仿宋" w:eastAsia="仿宋" w:cs="仿宋"/>
                <w:sz w:val="22"/>
                <w:szCs w:val="22"/>
              </w:rPr>
              <w:t>3年</w:t>
            </w:r>
          </w:p>
        </w:tc>
        <w:tc>
          <w:tcPr>
            <w:tcW w:w="1335" w:type="dxa"/>
            <w:tcBorders>
              <w:top w:val="nil"/>
              <w:left w:val="nil"/>
              <w:bottom w:val="nil"/>
              <w:right w:val="single" w:color="000000" w:sz="8" w:space="0"/>
            </w:tcBorders>
            <w:tcMar>
              <w:top w:w="0" w:type="dxa"/>
              <w:left w:w="108" w:type="dxa"/>
              <w:bottom w:w="0" w:type="dxa"/>
              <w:right w:w="108" w:type="dxa"/>
            </w:tcMar>
            <w:vAlign w:val="center"/>
          </w:tcPr>
          <w:p>
            <w:pPr>
              <w:pStyle w:val="2"/>
              <w:jc w:val="center"/>
              <w:rPr>
                <w:rFonts w:hint="default" w:ascii="仿宋" w:hAnsi="仿宋" w:eastAsia="仿宋" w:cs="仿宋"/>
                <w:sz w:val="22"/>
                <w:szCs w:val="22"/>
                <w:lang w:val="en-US" w:eastAsia="zh-CN"/>
              </w:rPr>
            </w:pPr>
            <w:r>
              <w:rPr>
                <w:rFonts w:hint="eastAsia" w:ascii="仿宋" w:hAnsi="仿宋" w:eastAsia="仿宋" w:cs="仿宋"/>
                <w:sz w:val="22"/>
                <w:szCs w:val="22"/>
              </w:rPr>
              <w:t>咖啡店</w:t>
            </w:r>
            <w:r>
              <w:rPr>
                <w:rFonts w:hint="eastAsia" w:ascii="仿宋" w:hAnsi="仿宋" w:eastAsia="仿宋" w:cs="仿宋"/>
                <w:sz w:val="22"/>
                <w:szCs w:val="22"/>
                <w:lang w:val="en-US" w:eastAsia="zh-CN"/>
              </w:rPr>
              <w:t>/饮品店</w:t>
            </w:r>
          </w:p>
          <w:p>
            <w:pPr>
              <w:pStyle w:val="2"/>
              <w:jc w:val="center"/>
              <w:rPr>
                <w:rFonts w:hint="eastAsia" w:ascii="仿宋" w:hAnsi="仿宋" w:eastAsia="仿宋" w:cs="仿宋"/>
                <w:sz w:val="22"/>
                <w:szCs w:val="22"/>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提供各种咖啡、奶茶及相关饮品、糖水甜点、烘焙食品、各类相关食品</w:t>
            </w:r>
            <w:r>
              <w:rPr>
                <w:rFonts w:hint="eastAsia" w:ascii="仿宋" w:hAnsi="仿宋" w:eastAsia="仿宋" w:cs="仿宋"/>
                <w:sz w:val="21"/>
                <w:szCs w:val="21"/>
                <w:lang w:eastAsia="zh-CN"/>
              </w:rPr>
              <w:t>）</w:t>
            </w:r>
          </w:p>
        </w:tc>
        <w:tc>
          <w:tcPr>
            <w:tcW w:w="1545" w:type="dxa"/>
            <w:tcBorders>
              <w:left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商铺现状：</w:t>
            </w:r>
            <w:r>
              <w:rPr>
                <w:rFonts w:hint="eastAsia" w:ascii="仿宋" w:hAnsi="仿宋" w:eastAsia="仿宋" w:cs="仿宋"/>
                <w:sz w:val="22"/>
                <w:szCs w:val="22"/>
              </w:rPr>
              <w:t>空置</w:t>
            </w:r>
            <w:r>
              <w:rPr>
                <w:rFonts w:hint="eastAsia" w:ascii="仿宋" w:hAnsi="仿宋" w:eastAsia="仿宋" w:cs="仿宋"/>
                <w:sz w:val="22"/>
                <w:szCs w:val="22"/>
                <w:lang w:eastAsia="zh-CN"/>
              </w:rPr>
              <w:t>；</w:t>
            </w:r>
          </w:p>
          <w:p>
            <w:pPr>
              <w:pStyle w:val="2"/>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餐饮排烟、餐饮排烟：无配置；</w:t>
            </w:r>
          </w:p>
          <w:p>
            <w:pPr>
              <w:pStyle w:val="2"/>
              <w:jc w:val="center"/>
              <w:rPr>
                <w:rFonts w:hint="eastAsia" w:ascii="仿宋" w:hAnsi="仿宋" w:eastAsia="仿宋" w:cs="仿宋"/>
                <w:sz w:val="21"/>
                <w:szCs w:val="21"/>
                <w:lang w:eastAsia="zh-CN"/>
              </w:rPr>
            </w:pPr>
            <w:r>
              <w:rPr>
                <w:rFonts w:hint="eastAsia" w:ascii="仿宋" w:hAnsi="仿宋" w:eastAsia="仿宋" w:cs="仿宋"/>
                <w:sz w:val="22"/>
                <w:szCs w:val="22"/>
                <w:lang w:val="en-US" w:eastAsia="zh-CN"/>
              </w:rPr>
              <w:t>给排水、用电：预留给水口及电源接口；空调：标配。</w:t>
            </w:r>
          </w:p>
        </w:tc>
        <w:tc>
          <w:tcPr>
            <w:tcW w:w="707" w:type="dxa"/>
            <w:vMerge w:val="continue"/>
            <w:tcBorders>
              <w:left w:val="nil"/>
              <w:right w:val="single" w:color="000000" w:sz="8" w:space="0"/>
            </w:tcBorders>
            <w:tcMar>
              <w:top w:w="0" w:type="dxa"/>
              <w:left w:w="108" w:type="dxa"/>
              <w:bottom w:w="0" w:type="dxa"/>
              <w:right w:w="108" w:type="dxa"/>
            </w:tcMar>
            <w:vAlign w:val="center"/>
          </w:tcPr>
          <w:p>
            <w:pPr>
              <w:pStyle w:val="2"/>
              <w:jc w:val="center"/>
              <w:rPr>
                <w:sz w:val="22"/>
                <w:szCs w:val="22"/>
              </w:rPr>
            </w:pPr>
          </w:p>
        </w:tc>
      </w:tr>
      <w:tr>
        <w:tblPrEx>
          <w:tblLayout w:type="fixed"/>
          <w:tblCellMar>
            <w:top w:w="15" w:type="dxa"/>
            <w:left w:w="15" w:type="dxa"/>
            <w:bottom w:w="15" w:type="dxa"/>
            <w:right w:w="15" w:type="dxa"/>
          </w:tblCellMar>
        </w:tblPrEx>
        <w:trPr>
          <w:trHeight w:val="1902" w:hRule="atLeast"/>
          <w:jc w:val="center"/>
        </w:trPr>
        <w:tc>
          <w:tcPr>
            <w:tcW w:w="649" w:type="dxa"/>
            <w:tcBorders>
              <w:top w:val="nil"/>
              <w:left w:val="single" w:color="000000" w:sz="8" w:space="0"/>
              <w:bottom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4</w:t>
            </w:r>
          </w:p>
        </w:tc>
        <w:tc>
          <w:tcPr>
            <w:tcW w:w="1214" w:type="dxa"/>
            <w:tcBorders>
              <w:top w:val="nil"/>
              <w:left w:val="nil"/>
              <w:bottom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rPr>
            </w:pPr>
            <w:r>
              <w:rPr>
                <w:rFonts w:hint="eastAsia" w:ascii="仿宋" w:hAnsi="仿宋" w:eastAsia="仿宋" w:cs="仿宋"/>
                <w:sz w:val="22"/>
                <w:szCs w:val="22"/>
              </w:rPr>
              <w:t>佛山市第二人民医院绿岛湖院区B1地下落客</w:t>
            </w:r>
            <w:r>
              <w:rPr>
                <w:rFonts w:hint="eastAsia" w:ascii="仿宋" w:hAnsi="仿宋" w:eastAsia="仿宋" w:cs="仿宋"/>
                <w:sz w:val="22"/>
                <w:szCs w:val="22"/>
                <w:lang w:val="en-US" w:eastAsia="zh-CN"/>
              </w:rPr>
              <w:t>大厅西侧商铺2</w:t>
            </w:r>
          </w:p>
        </w:tc>
        <w:tc>
          <w:tcPr>
            <w:tcW w:w="885" w:type="dxa"/>
            <w:tcBorders>
              <w:top w:val="nil"/>
              <w:left w:val="nil"/>
              <w:bottom w:val="nil"/>
              <w:right w:val="single" w:color="000000" w:sz="8" w:space="0"/>
            </w:tcBorders>
            <w:tcMar>
              <w:top w:w="0" w:type="dxa"/>
              <w:left w:w="108" w:type="dxa"/>
              <w:bottom w:w="0" w:type="dxa"/>
              <w:right w:w="108" w:type="dxa"/>
            </w:tcMar>
            <w:vAlign w:val="center"/>
          </w:tcPr>
          <w:p>
            <w:pPr>
              <w:pStyle w:val="2"/>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40</w:t>
            </w:r>
          </w:p>
        </w:tc>
        <w:tc>
          <w:tcPr>
            <w:tcW w:w="750" w:type="dxa"/>
            <w:tcBorders>
              <w:top w:val="nil"/>
              <w:left w:val="nil"/>
              <w:bottom w:val="nil"/>
              <w:right w:val="nil"/>
            </w:tcBorders>
            <w:vAlign w:val="center"/>
          </w:tcPr>
          <w:p>
            <w:pPr>
              <w:pStyle w:val="2"/>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3年</w:t>
            </w:r>
          </w:p>
        </w:tc>
        <w:tc>
          <w:tcPr>
            <w:tcW w:w="1335" w:type="dxa"/>
            <w:tcBorders>
              <w:top w:val="nil"/>
              <w:left w:val="nil"/>
              <w:bottom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lang w:eastAsia="zh-CN"/>
              </w:rPr>
            </w:pPr>
            <w:r>
              <w:rPr>
                <w:rFonts w:hint="eastAsia" w:ascii="仿宋" w:hAnsi="仿宋" w:eastAsia="仿宋" w:cs="仿宋"/>
                <w:sz w:val="22"/>
                <w:szCs w:val="22"/>
              </w:rPr>
              <w:t>面包/甜品店</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提供各类烘焙或预包装面包、蛋糕、点心及各类甜点、饮品、各类食品等</w:t>
            </w:r>
            <w:r>
              <w:rPr>
                <w:rFonts w:hint="eastAsia" w:ascii="仿宋" w:hAnsi="仿宋" w:eastAsia="仿宋" w:cs="仿宋"/>
                <w:sz w:val="21"/>
                <w:szCs w:val="21"/>
                <w:lang w:eastAsia="zh-CN"/>
              </w:rPr>
              <w:t>）</w:t>
            </w:r>
          </w:p>
        </w:tc>
        <w:tc>
          <w:tcPr>
            <w:tcW w:w="1545" w:type="dxa"/>
            <w:tcBorders>
              <w:left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商铺现状：</w:t>
            </w:r>
            <w:r>
              <w:rPr>
                <w:rFonts w:hint="eastAsia" w:ascii="仿宋" w:hAnsi="仿宋" w:eastAsia="仿宋" w:cs="仿宋"/>
                <w:sz w:val="22"/>
                <w:szCs w:val="22"/>
              </w:rPr>
              <w:t>空置</w:t>
            </w:r>
            <w:r>
              <w:rPr>
                <w:rFonts w:hint="eastAsia" w:ascii="仿宋" w:hAnsi="仿宋" w:eastAsia="仿宋" w:cs="仿宋"/>
                <w:sz w:val="22"/>
                <w:szCs w:val="22"/>
                <w:lang w:eastAsia="zh-CN"/>
              </w:rPr>
              <w:t>；</w:t>
            </w:r>
          </w:p>
          <w:p>
            <w:pPr>
              <w:pStyle w:val="2"/>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餐饮排烟、餐饮排烟：无配置；</w:t>
            </w:r>
          </w:p>
          <w:p>
            <w:pPr>
              <w:pStyle w:val="2"/>
              <w:jc w:val="center"/>
              <w:rPr>
                <w:rFonts w:hint="eastAsia" w:ascii="仿宋" w:hAnsi="仿宋" w:eastAsia="仿宋" w:cs="仿宋"/>
                <w:sz w:val="22"/>
                <w:szCs w:val="22"/>
              </w:rPr>
            </w:pPr>
            <w:r>
              <w:rPr>
                <w:rFonts w:hint="eastAsia" w:ascii="仿宋" w:hAnsi="仿宋" w:eastAsia="仿宋" w:cs="仿宋"/>
                <w:sz w:val="22"/>
                <w:szCs w:val="22"/>
                <w:lang w:val="en-US" w:eastAsia="zh-CN"/>
              </w:rPr>
              <w:t>给排水、用电：预留给水口及电源接口；空调：标配。</w:t>
            </w:r>
          </w:p>
        </w:tc>
        <w:tc>
          <w:tcPr>
            <w:tcW w:w="707" w:type="dxa"/>
            <w:vMerge w:val="continue"/>
            <w:tcBorders>
              <w:left w:val="nil"/>
              <w:right w:val="single" w:color="000000" w:sz="8" w:space="0"/>
            </w:tcBorders>
            <w:tcMar>
              <w:top w:w="0" w:type="dxa"/>
              <w:left w:w="108" w:type="dxa"/>
              <w:bottom w:w="0" w:type="dxa"/>
              <w:right w:w="108" w:type="dxa"/>
            </w:tcMar>
            <w:vAlign w:val="center"/>
          </w:tcPr>
          <w:p>
            <w:pPr>
              <w:pStyle w:val="2"/>
              <w:jc w:val="center"/>
              <w:rPr>
                <w:sz w:val="22"/>
                <w:szCs w:val="22"/>
              </w:rPr>
            </w:pPr>
          </w:p>
        </w:tc>
      </w:tr>
      <w:tr>
        <w:tblPrEx>
          <w:tblLayout w:type="fixed"/>
          <w:tblCellMar>
            <w:top w:w="15" w:type="dxa"/>
            <w:left w:w="15" w:type="dxa"/>
            <w:bottom w:w="15" w:type="dxa"/>
            <w:right w:w="15" w:type="dxa"/>
          </w:tblCellMar>
        </w:tblPrEx>
        <w:trPr>
          <w:trHeight w:val="1902" w:hRule="atLeast"/>
          <w:jc w:val="center"/>
        </w:trPr>
        <w:tc>
          <w:tcPr>
            <w:tcW w:w="649" w:type="dxa"/>
            <w:tcBorders>
              <w:top w:val="nil"/>
              <w:left w:val="single" w:color="000000" w:sz="8" w:space="0"/>
              <w:bottom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5</w:t>
            </w:r>
          </w:p>
        </w:tc>
        <w:tc>
          <w:tcPr>
            <w:tcW w:w="1214" w:type="dxa"/>
            <w:tcBorders>
              <w:top w:val="nil"/>
              <w:left w:val="nil"/>
              <w:bottom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rPr>
            </w:pPr>
            <w:r>
              <w:rPr>
                <w:rFonts w:hint="eastAsia" w:ascii="仿宋" w:hAnsi="仿宋" w:eastAsia="仿宋" w:cs="仿宋"/>
                <w:sz w:val="22"/>
                <w:szCs w:val="22"/>
              </w:rPr>
              <w:t>佛山市第二人民医院绿岛湖院区B1地下落客</w:t>
            </w:r>
            <w:r>
              <w:rPr>
                <w:rFonts w:hint="eastAsia" w:ascii="仿宋" w:hAnsi="仿宋" w:eastAsia="仿宋" w:cs="仿宋"/>
                <w:sz w:val="22"/>
                <w:szCs w:val="22"/>
                <w:lang w:val="en-US" w:eastAsia="zh-CN"/>
              </w:rPr>
              <w:t>大厅南侧商铺</w:t>
            </w:r>
          </w:p>
        </w:tc>
        <w:tc>
          <w:tcPr>
            <w:tcW w:w="885" w:type="dxa"/>
            <w:tcBorders>
              <w:top w:val="nil"/>
              <w:left w:val="nil"/>
              <w:bottom w:val="nil"/>
              <w:right w:val="single" w:color="000000" w:sz="8" w:space="0"/>
            </w:tcBorders>
            <w:tcMar>
              <w:top w:w="0" w:type="dxa"/>
              <w:left w:w="108" w:type="dxa"/>
              <w:bottom w:w="0" w:type="dxa"/>
              <w:right w:w="108" w:type="dxa"/>
            </w:tcMar>
            <w:vAlign w:val="center"/>
          </w:tcPr>
          <w:p>
            <w:pPr>
              <w:pStyle w:val="2"/>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20</w:t>
            </w:r>
          </w:p>
        </w:tc>
        <w:tc>
          <w:tcPr>
            <w:tcW w:w="750" w:type="dxa"/>
            <w:tcBorders>
              <w:top w:val="nil"/>
              <w:left w:val="nil"/>
              <w:bottom w:val="nil"/>
              <w:right w:val="nil"/>
            </w:tcBorders>
            <w:vAlign w:val="center"/>
          </w:tcPr>
          <w:p>
            <w:pPr>
              <w:pStyle w:val="2"/>
              <w:jc w:val="center"/>
              <w:rPr>
                <w:rFonts w:hint="eastAsia" w:ascii="仿宋" w:hAnsi="仿宋" w:eastAsia="仿宋" w:cs="仿宋"/>
                <w:sz w:val="22"/>
                <w:szCs w:val="22"/>
              </w:rPr>
            </w:pPr>
            <w:r>
              <w:rPr>
                <w:rFonts w:hint="eastAsia" w:ascii="仿宋" w:hAnsi="仿宋" w:eastAsia="仿宋" w:cs="仿宋"/>
                <w:sz w:val="22"/>
                <w:szCs w:val="22"/>
                <w:lang w:val="en-US" w:eastAsia="zh-CN"/>
              </w:rPr>
              <w:t>3年</w:t>
            </w:r>
          </w:p>
        </w:tc>
        <w:tc>
          <w:tcPr>
            <w:tcW w:w="1335" w:type="dxa"/>
            <w:tcBorders>
              <w:top w:val="nil"/>
              <w:left w:val="nil"/>
              <w:bottom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rPr>
            </w:pPr>
            <w:r>
              <w:rPr>
                <w:rFonts w:hint="eastAsia" w:ascii="仿宋" w:hAnsi="仿宋" w:eastAsia="仿宋" w:cs="仿宋"/>
                <w:sz w:val="22"/>
                <w:szCs w:val="22"/>
              </w:rPr>
              <w:t>水果/鲜花店</w:t>
            </w:r>
          </w:p>
          <w:p>
            <w:pPr>
              <w:pStyle w:val="2"/>
              <w:jc w:val="center"/>
              <w:rPr>
                <w:rFonts w:hint="eastAsia" w:ascii="仿宋" w:hAnsi="仿宋" w:eastAsia="仿宋" w:cs="仿宋"/>
                <w:sz w:val="22"/>
                <w:szCs w:val="22"/>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提供各类鲜花、水果、果切、水果相关食饮品、各类食品等</w:t>
            </w:r>
            <w:r>
              <w:rPr>
                <w:rFonts w:hint="eastAsia" w:ascii="仿宋" w:hAnsi="仿宋" w:eastAsia="仿宋" w:cs="仿宋"/>
                <w:sz w:val="21"/>
                <w:szCs w:val="21"/>
                <w:lang w:eastAsia="zh-CN"/>
              </w:rPr>
              <w:t>）</w:t>
            </w:r>
          </w:p>
        </w:tc>
        <w:tc>
          <w:tcPr>
            <w:tcW w:w="1545" w:type="dxa"/>
            <w:tcBorders>
              <w:left w:val="nil"/>
              <w:right w:val="single" w:color="000000" w:sz="8" w:space="0"/>
            </w:tcBorders>
            <w:tcMar>
              <w:top w:w="0" w:type="dxa"/>
              <w:left w:w="108" w:type="dxa"/>
              <w:bottom w:w="0" w:type="dxa"/>
              <w:right w:w="108" w:type="dxa"/>
            </w:tcMar>
            <w:vAlign w:val="center"/>
          </w:tcPr>
          <w:p>
            <w:pPr>
              <w:pStyle w:val="2"/>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商铺现状：</w:t>
            </w:r>
            <w:r>
              <w:rPr>
                <w:rFonts w:hint="eastAsia" w:ascii="仿宋" w:hAnsi="仿宋" w:eastAsia="仿宋" w:cs="仿宋"/>
                <w:sz w:val="22"/>
                <w:szCs w:val="22"/>
              </w:rPr>
              <w:t>空置</w:t>
            </w:r>
            <w:r>
              <w:rPr>
                <w:rFonts w:hint="eastAsia" w:ascii="仿宋" w:hAnsi="仿宋" w:eastAsia="仿宋" w:cs="仿宋"/>
                <w:sz w:val="22"/>
                <w:szCs w:val="22"/>
                <w:lang w:eastAsia="zh-CN"/>
              </w:rPr>
              <w:t>；</w:t>
            </w:r>
          </w:p>
          <w:p>
            <w:pPr>
              <w:pStyle w:val="2"/>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餐饮排烟、餐饮排烟：无配置；</w:t>
            </w:r>
          </w:p>
          <w:p>
            <w:pPr>
              <w:pStyle w:val="2"/>
              <w:jc w:val="center"/>
              <w:rPr>
                <w:rFonts w:hint="eastAsia" w:ascii="仿宋" w:hAnsi="仿宋" w:eastAsia="仿宋" w:cs="仿宋"/>
                <w:sz w:val="21"/>
                <w:szCs w:val="21"/>
                <w:lang w:eastAsia="zh-CN"/>
              </w:rPr>
            </w:pPr>
            <w:r>
              <w:rPr>
                <w:rFonts w:hint="eastAsia" w:ascii="仿宋" w:hAnsi="仿宋" w:eastAsia="仿宋" w:cs="仿宋"/>
                <w:sz w:val="22"/>
                <w:szCs w:val="22"/>
                <w:lang w:val="en-US" w:eastAsia="zh-CN"/>
              </w:rPr>
              <w:t>给排水、用电：预留给水口及电源接口；空调：标配。</w:t>
            </w:r>
          </w:p>
        </w:tc>
        <w:tc>
          <w:tcPr>
            <w:tcW w:w="707" w:type="dxa"/>
            <w:vMerge w:val="continue"/>
            <w:tcBorders>
              <w:left w:val="nil"/>
              <w:right w:val="single" w:color="000000" w:sz="8" w:space="0"/>
            </w:tcBorders>
            <w:tcMar>
              <w:top w:w="0" w:type="dxa"/>
              <w:left w:w="108" w:type="dxa"/>
              <w:bottom w:w="0" w:type="dxa"/>
              <w:right w:w="108" w:type="dxa"/>
            </w:tcMar>
            <w:vAlign w:val="center"/>
          </w:tcPr>
          <w:p>
            <w:pPr>
              <w:pStyle w:val="2"/>
              <w:jc w:val="center"/>
              <w:rPr>
                <w:sz w:val="22"/>
                <w:szCs w:val="22"/>
              </w:rPr>
            </w:pPr>
          </w:p>
        </w:tc>
      </w:tr>
    </w:tbl>
    <w:p>
      <w:pPr>
        <w:snapToGrid w:val="0"/>
        <w:spacing w:line="360" w:lineRule="auto"/>
        <w:jc w:val="left"/>
        <w:rPr>
          <w:rFonts w:hint="eastAsia" w:ascii="仿宋" w:hAnsi="仿宋" w:eastAsia="仿宋"/>
          <w:b/>
          <w:color w:val="000000"/>
          <w:sz w:val="28"/>
          <w:szCs w:val="28"/>
        </w:rPr>
      </w:pPr>
    </w:p>
    <w:p>
      <w:pPr>
        <w:keepNext w:val="0"/>
        <w:keepLines w:val="0"/>
        <w:pageBreakBefore w:val="0"/>
        <w:kinsoku/>
        <w:wordWrap/>
        <w:overflowPunct/>
        <w:topLinePunct w:val="0"/>
        <w:autoSpaceDE/>
        <w:autoSpaceDN/>
        <w:bidi w:val="0"/>
        <w:adjustRightInd/>
        <w:snapToGrid w:val="0"/>
        <w:spacing w:line="240" w:lineRule="auto"/>
        <w:ind w:firstLine="562" w:firstLineChars="200"/>
        <w:jc w:val="left"/>
        <w:textAlignment w:val="auto"/>
        <w:rPr>
          <w:rFonts w:hint="eastAsia" w:ascii="仿宋" w:hAnsi="仿宋" w:eastAsia="仿宋"/>
          <w:b/>
          <w:color w:val="000000"/>
          <w:sz w:val="28"/>
          <w:szCs w:val="28"/>
          <w:lang w:val="en-US" w:eastAsia="zh-CN"/>
        </w:rPr>
      </w:pP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三</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承租要求</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bCs/>
          <w:color w:val="000000"/>
          <w:sz w:val="28"/>
          <w:szCs w:val="28"/>
          <w:shd w:val="clear" w:color="auto" w:fill="FFFFFF"/>
          <w:lang w:val="en-US" w:eastAsia="zh-CN"/>
        </w:rPr>
      </w:pPr>
      <w:r>
        <w:rPr>
          <w:rFonts w:hint="eastAsia" w:ascii="仿宋" w:hAnsi="仿宋" w:eastAsia="仿宋"/>
          <w:bCs/>
          <w:color w:val="000000"/>
          <w:sz w:val="28"/>
          <w:szCs w:val="28"/>
          <w:shd w:val="clear" w:color="auto" w:fill="FFFFFF"/>
        </w:rPr>
        <w:t>★1.</w:t>
      </w:r>
      <w:r>
        <w:rPr>
          <w:rFonts w:hint="eastAsia" w:ascii="仿宋" w:hAnsi="仿宋" w:eastAsia="仿宋"/>
          <w:bCs/>
          <w:color w:val="000000"/>
          <w:sz w:val="28"/>
          <w:szCs w:val="28"/>
          <w:shd w:val="clear" w:color="auto" w:fill="FFFFFF"/>
          <w:lang w:val="en-US" w:eastAsia="zh-CN"/>
        </w:rPr>
        <w:t>本项目5间商铺要求同一投标人，不拆分出租。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bCs/>
          <w:color w:val="000000"/>
          <w:sz w:val="28"/>
          <w:szCs w:val="28"/>
          <w:shd w:val="clear" w:color="auto" w:fill="FFFFFF"/>
        </w:rPr>
        <w:t>★</w:t>
      </w:r>
      <w:r>
        <w:rPr>
          <w:rFonts w:hint="eastAsia" w:ascii="仿宋" w:hAnsi="仿宋" w:eastAsia="仿宋"/>
          <w:bCs/>
          <w:color w:val="000000"/>
          <w:sz w:val="28"/>
          <w:szCs w:val="28"/>
          <w:shd w:val="clear" w:color="auto" w:fill="FFFFFF"/>
          <w:lang w:val="en-US" w:eastAsia="zh-CN"/>
        </w:rPr>
        <w:t>2.投标人不得超出采购文件要求的经营范围，不得出售与经营范围无关的商品。</w:t>
      </w:r>
      <w:r>
        <w:rPr>
          <w:rFonts w:hint="eastAsia" w:ascii="仿宋" w:hAnsi="仿宋" w:eastAsia="仿宋" w:cs="仿宋"/>
          <w:i w:val="0"/>
          <w:iCs w:val="0"/>
          <w:caps w:val="0"/>
          <w:color w:val="000000"/>
          <w:spacing w:val="0"/>
          <w:sz w:val="28"/>
          <w:szCs w:val="28"/>
          <w:shd w:val="clear" w:fill="FFFFFF"/>
        </w:rPr>
        <w:t>因为医院的特殊性禁止售烟、售酒、</w:t>
      </w:r>
      <w:r>
        <w:rPr>
          <w:rFonts w:hint="eastAsia" w:ascii="仿宋" w:hAnsi="仿宋" w:eastAsia="仿宋" w:cs="仿宋"/>
          <w:i w:val="0"/>
          <w:iCs w:val="0"/>
          <w:caps w:val="0"/>
          <w:color w:val="000000"/>
          <w:spacing w:val="0"/>
          <w:sz w:val="28"/>
          <w:szCs w:val="28"/>
          <w:shd w:val="clear" w:fill="FFFFFF"/>
          <w:lang w:val="en-US" w:eastAsia="zh-CN"/>
        </w:rPr>
        <w:t>药品医疗设备及及国家违禁食品和商品</w:t>
      </w:r>
      <w:r>
        <w:rPr>
          <w:rFonts w:hint="eastAsia" w:ascii="仿宋" w:hAnsi="仿宋" w:eastAsia="仿宋" w:cs="仿宋"/>
          <w:i w:val="0"/>
          <w:iCs w:val="0"/>
          <w:caps w:val="0"/>
          <w:color w:val="000000"/>
          <w:spacing w:val="0"/>
          <w:sz w:val="28"/>
          <w:szCs w:val="28"/>
          <w:shd w:val="clear" w:fill="FFFFFF"/>
        </w:rPr>
        <w:t>。可能产生气味、噪音或视觉引起不适的售品应经得医院同意。不得经营易燃、易爆、腐臭、有毒、有害物品及法律法规禁止经营的商品。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bCs/>
          <w:color w:val="000000"/>
          <w:sz w:val="28"/>
          <w:szCs w:val="28"/>
          <w:shd w:val="clear" w:color="auto" w:fill="FFFFFF"/>
        </w:rPr>
        <w:t>★</w:t>
      </w:r>
      <w:r>
        <w:rPr>
          <w:rFonts w:hint="eastAsia" w:ascii="仿宋" w:hAnsi="仿宋" w:eastAsia="仿宋" w:cs="仿宋"/>
          <w:i w:val="0"/>
          <w:iCs w:val="0"/>
          <w:caps w:val="0"/>
          <w:color w:val="000000"/>
          <w:spacing w:val="0"/>
          <w:sz w:val="28"/>
          <w:szCs w:val="28"/>
          <w:shd w:val="clear" w:fill="FFFFFF"/>
          <w:lang w:val="en-US" w:eastAsia="zh-CN"/>
        </w:rPr>
        <w:t>3.投标人对商铺内售卖的产品进行明码标价，综合性便利店内商品不得超过周边知名便利店的平均售卖价格，其他店铺各类食品不得高于同品牌同类产品价格。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4.商铺门前不得私自设置檐篷、遮阳布，凡设置檐篷、遮阳布的，必须经医院统一规划、统一设置、统一用料，要保持整洁完好，与周边环境相协调。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default"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5.商铺内不得悬挂与经营信息无关的广告牌、海报、以及煽动性标语等。</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default"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★6.投标人在店铺装修前需向院方管理部门提交装修方案及装修效果图，装修风格应与医院装修风格适应，待院方同意后方出具进场通知方可动工装修。</w:t>
      </w:r>
    </w:p>
    <w:p>
      <w:pPr>
        <w:pStyle w:val="2"/>
        <w:keepNext w:val="0"/>
        <w:keepLines w:val="0"/>
        <w:pageBreakBefore w:val="0"/>
        <w:kinsoku/>
        <w:wordWrap/>
        <w:overflowPunct/>
        <w:topLinePunct w:val="0"/>
        <w:autoSpaceDE/>
        <w:autoSpaceDN/>
        <w:bidi w:val="0"/>
        <w:adjustRightInd/>
        <w:snapToGrid/>
        <w:spacing w:before="0" w:after="0" w:line="240" w:lineRule="auto"/>
        <w:ind w:firstLine="600" w:firstLineChars="200"/>
        <w:textAlignment w:val="auto"/>
        <w:rPr>
          <w:rFonts w:hint="eastAsia" w:ascii="仿宋" w:hAnsi="仿宋" w:eastAsia="仿宋"/>
          <w:bCs/>
          <w:color w:val="000000"/>
          <w:sz w:val="28"/>
          <w:szCs w:val="28"/>
          <w:shd w:val="clear" w:color="auto" w:fill="FFFFFF"/>
          <w:lang w:val="en-US" w:eastAsia="zh-CN"/>
        </w:rPr>
      </w:pPr>
      <w:r>
        <w:rPr>
          <w:rFonts w:hint="eastAsia" w:ascii="仿宋" w:hAnsi="仿宋" w:eastAsia="仿宋"/>
          <w:bCs/>
          <w:color w:val="000000"/>
          <w:sz w:val="28"/>
          <w:szCs w:val="28"/>
          <w:shd w:val="clear" w:color="auto" w:fill="FFFFFF"/>
          <w:lang w:val="en-US" w:eastAsia="zh-CN"/>
        </w:rPr>
        <w:t>7.投标人不得将承租的物业用作非法经营场所或在物业内部或周边从事危险生产、危险活动、可能造成重大环境污染的活动及其非法经营活动;投标人须遵守租赁合同的全部约定，全面履行投标人义务，按时足额缴纳租金。</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lang w:val="en-US" w:eastAsia="zh-CN"/>
        </w:rPr>
        <w:t>8.投标人</w:t>
      </w:r>
      <w:r>
        <w:rPr>
          <w:rFonts w:hint="eastAsia" w:ascii="仿宋" w:hAnsi="仿宋" w:eastAsia="仿宋" w:cs="仿宋"/>
          <w:i w:val="0"/>
          <w:iCs w:val="0"/>
          <w:caps w:val="0"/>
          <w:color w:val="000000"/>
          <w:spacing w:val="0"/>
          <w:sz w:val="28"/>
          <w:szCs w:val="28"/>
          <w:shd w:val="clear" w:fill="FFFFFF"/>
        </w:rPr>
        <w:t>人所经营的院内</w:t>
      </w:r>
      <w:r>
        <w:rPr>
          <w:rFonts w:hint="eastAsia" w:ascii="仿宋" w:hAnsi="仿宋" w:eastAsia="仿宋" w:cs="仿宋"/>
          <w:i w:val="0"/>
          <w:iCs w:val="0"/>
          <w:caps w:val="0"/>
          <w:color w:val="000000"/>
          <w:spacing w:val="0"/>
          <w:sz w:val="28"/>
          <w:szCs w:val="28"/>
          <w:shd w:val="clear" w:fill="FFFFFF"/>
          <w:lang w:val="en-US" w:eastAsia="zh-CN"/>
        </w:rPr>
        <w:t>商铺</w:t>
      </w:r>
      <w:r>
        <w:rPr>
          <w:rFonts w:hint="eastAsia" w:ascii="仿宋" w:hAnsi="仿宋" w:eastAsia="仿宋" w:cs="仿宋"/>
          <w:i w:val="0"/>
          <w:iCs w:val="0"/>
          <w:caps w:val="0"/>
          <w:color w:val="000000"/>
          <w:spacing w:val="0"/>
          <w:sz w:val="28"/>
          <w:szCs w:val="28"/>
          <w:shd w:val="clear" w:fill="FFFFFF"/>
        </w:rPr>
        <w:t>环境和设施设备应达到环保、消防部门的要求。若因为环保、消防未达标造成的罚款由</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负责；若因为环保、消防未达标给医院带来损失或造成人员人身伤害，将追究</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相应的法律责任。若因为环保、消防问题给医院造成重大财产损失或人员人身伤害的，医院有权终止合同，合同履约保证金不予退还。</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lang w:val="en-US" w:eastAsia="zh-CN"/>
        </w:rPr>
        <w:t>9.</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为院内</w:t>
      </w:r>
      <w:r>
        <w:rPr>
          <w:rFonts w:hint="eastAsia" w:ascii="仿宋" w:hAnsi="仿宋" w:eastAsia="仿宋" w:cs="仿宋"/>
          <w:i w:val="0"/>
          <w:iCs w:val="0"/>
          <w:caps w:val="0"/>
          <w:color w:val="000000"/>
          <w:spacing w:val="0"/>
          <w:sz w:val="28"/>
          <w:szCs w:val="28"/>
          <w:shd w:val="clear" w:fill="FFFFFF"/>
          <w:lang w:val="en-US" w:eastAsia="zh-CN"/>
        </w:rPr>
        <w:t>商铺</w:t>
      </w:r>
      <w:r>
        <w:rPr>
          <w:rFonts w:hint="eastAsia" w:ascii="仿宋" w:hAnsi="仿宋" w:eastAsia="仿宋" w:cs="仿宋"/>
          <w:i w:val="0"/>
          <w:iCs w:val="0"/>
          <w:caps w:val="0"/>
          <w:color w:val="000000"/>
          <w:spacing w:val="0"/>
          <w:sz w:val="28"/>
          <w:szCs w:val="28"/>
          <w:shd w:val="clear" w:fill="FFFFFF"/>
        </w:rPr>
        <w:t>卫生、防火、治安第一责任人，须服从医院有关部门的监督。</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必须自行做好安全防盗、防火工作，如发生失窃、火灾事故而造成的一切损失由</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自负。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lang w:val="en-US" w:eastAsia="zh-CN"/>
        </w:rPr>
        <w:t>10.</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应努力提高服务质量，品种价格上应有高、中、低不同的档次，尽可能满足消费者不同的需求。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lang w:val="en-US" w:eastAsia="zh-CN"/>
        </w:rPr>
        <w:t>11.</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必须严格执行《劳动法》和《劳动合同法》，为所聘用员工办理相关社会保险，确保员工的权益不受侵犯，其费用由</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负担，并承担所聘用员工的工伤、事故责任；对院内</w:t>
      </w:r>
      <w:r>
        <w:rPr>
          <w:rFonts w:hint="eastAsia" w:ascii="仿宋" w:hAnsi="仿宋" w:eastAsia="仿宋" w:cs="仿宋"/>
          <w:i w:val="0"/>
          <w:iCs w:val="0"/>
          <w:caps w:val="0"/>
          <w:color w:val="000000"/>
          <w:spacing w:val="0"/>
          <w:sz w:val="28"/>
          <w:szCs w:val="28"/>
          <w:shd w:val="clear" w:fill="FFFFFF"/>
          <w:lang w:val="en-US" w:eastAsia="zh-CN"/>
        </w:rPr>
        <w:t>商铺</w:t>
      </w:r>
      <w:r>
        <w:rPr>
          <w:rFonts w:hint="eastAsia" w:ascii="仿宋" w:hAnsi="仿宋" w:eastAsia="仿宋" w:cs="仿宋"/>
          <w:i w:val="0"/>
          <w:iCs w:val="0"/>
          <w:caps w:val="0"/>
          <w:color w:val="000000"/>
          <w:spacing w:val="0"/>
          <w:sz w:val="28"/>
          <w:szCs w:val="28"/>
          <w:shd w:val="clear" w:fill="FFFFFF"/>
        </w:rPr>
        <w:t>的经营管理、员工工资发放、社会福利、工伤保险等必须严格执行国家、省、市的劳动法规；在经营过程中与员工发生的一切纠纷均与医院无关。</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lang w:val="en-US" w:eastAsia="zh-CN"/>
        </w:rPr>
        <w:t>12.</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负责聘用员工的食品安全、安全用电、防火等操作的专项培训和职业道德、有关法律法规及医院的各项规章制度的学习，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lang w:val="en-US" w:eastAsia="zh-CN"/>
        </w:rPr>
        <w:t>13.</w:t>
      </w:r>
      <w:r>
        <w:rPr>
          <w:rFonts w:hint="eastAsia" w:ascii="仿宋" w:hAnsi="仿宋" w:eastAsia="仿宋" w:cs="仿宋"/>
          <w:i w:val="0"/>
          <w:iCs w:val="0"/>
          <w:caps w:val="0"/>
          <w:color w:val="000000"/>
          <w:spacing w:val="0"/>
          <w:sz w:val="28"/>
          <w:szCs w:val="28"/>
          <w:shd w:val="clear" w:fill="FFFFFF"/>
        </w:rPr>
        <w:t>营业期间</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的服务工作人员应统一着装，穿工作服、戴工作帽，接触消费者的员工必须戴口罩、一次性手套，佩戴工号卡，不得佩戴饰物，不留长指甲，不涂指甲油；长发盘起，做到穿戴整齐，卫生清洁。每个员工应有冬、夏工作服各两套，按季节变化统一换装。使用规范、礼貌服务用语，严禁一切不良动作和习惯；出售食物时必须使用专门工具，不得用手直接接触食物；</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default"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14.</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必须严格按照国家法律法规及医院的有关规定执行食品安全标准</w:t>
      </w:r>
      <w:r>
        <w:rPr>
          <w:rFonts w:hint="eastAsia" w:ascii="仿宋" w:hAnsi="仿宋" w:eastAsia="仿宋" w:cs="仿宋"/>
          <w:i w:val="0"/>
          <w:iCs w:val="0"/>
          <w:caps w:val="0"/>
          <w:color w:val="000000"/>
          <w:spacing w:val="0"/>
          <w:sz w:val="28"/>
          <w:szCs w:val="28"/>
          <w:shd w:val="clear" w:fill="FFFFFF"/>
          <w:lang w:eastAsia="zh-CN"/>
        </w:rPr>
        <w:t>，</w:t>
      </w:r>
      <w:r>
        <w:rPr>
          <w:rFonts w:hint="eastAsia" w:ascii="仿宋" w:hAnsi="仿宋" w:eastAsia="仿宋" w:cs="仿宋"/>
          <w:i w:val="0"/>
          <w:iCs w:val="0"/>
          <w:caps w:val="0"/>
          <w:color w:val="000000"/>
          <w:spacing w:val="0"/>
          <w:sz w:val="28"/>
          <w:szCs w:val="28"/>
          <w:shd w:val="clear" w:fill="FFFFFF"/>
          <w:lang w:val="en-US" w:eastAsia="zh-CN"/>
        </w:rPr>
        <w:t>并建立相应的食品安全制度（包括但不限于质量管理制度、不良反应处理制度、食品召回工作制度等）</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微软雅黑" w:hAnsi="微软雅黑" w:eastAsia="微软雅黑" w:cs="微软雅黑"/>
          <w:i w:val="0"/>
          <w:iCs w:val="0"/>
          <w:caps w:val="0"/>
          <w:color w:val="333333"/>
          <w:spacing w:val="0"/>
          <w:sz w:val="26"/>
          <w:szCs w:val="26"/>
        </w:rPr>
      </w:pPr>
      <w:r>
        <w:rPr>
          <w:rFonts w:hint="eastAsia" w:ascii="仿宋" w:hAnsi="仿宋" w:eastAsia="仿宋" w:cs="仿宋"/>
          <w:i w:val="0"/>
          <w:iCs w:val="0"/>
          <w:caps w:val="0"/>
          <w:color w:val="000000"/>
          <w:spacing w:val="0"/>
          <w:sz w:val="28"/>
          <w:szCs w:val="28"/>
          <w:shd w:val="clear" w:fill="FFFFFF"/>
          <w:lang w:val="en-US" w:eastAsia="zh-CN"/>
        </w:rPr>
        <w:t>15.</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必须守法经营，接受市场监督管理局等相关政府部门的抽查抽检工作和医院的送检工作，检验结果必须对外公开。</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lang w:val="en-US" w:eastAsia="zh-CN"/>
        </w:rPr>
        <w:t>16.</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需搞好院内</w:t>
      </w:r>
      <w:r>
        <w:rPr>
          <w:rFonts w:hint="eastAsia" w:ascii="仿宋" w:hAnsi="仿宋" w:eastAsia="仿宋" w:cs="仿宋"/>
          <w:i w:val="0"/>
          <w:iCs w:val="0"/>
          <w:caps w:val="0"/>
          <w:color w:val="000000"/>
          <w:spacing w:val="0"/>
          <w:sz w:val="28"/>
          <w:szCs w:val="28"/>
          <w:shd w:val="clear" w:fill="FFFFFF"/>
          <w:lang w:val="en-US" w:eastAsia="zh-CN"/>
        </w:rPr>
        <w:t>商铺</w:t>
      </w:r>
      <w:r>
        <w:rPr>
          <w:rFonts w:hint="eastAsia" w:ascii="仿宋" w:hAnsi="仿宋" w:eastAsia="仿宋" w:cs="仿宋"/>
          <w:i w:val="0"/>
          <w:iCs w:val="0"/>
          <w:caps w:val="0"/>
          <w:color w:val="000000"/>
          <w:spacing w:val="0"/>
          <w:sz w:val="28"/>
          <w:szCs w:val="28"/>
          <w:shd w:val="clear" w:fill="FFFFFF"/>
        </w:rPr>
        <w:t>环境卫生，建立院内</w:t>
      </w:r>
      <w:r>
        <w:rPr>
          <w:rFonts w:hint="eastAsia" w:ascii="仿宋" w:hAnsi="仿宋" w:eastAsia="仿宋" w:cs="仿宋"/>
          <w:i w:val="0"/>
          <w:iCs w:val="0"/>
          <w:caps w:val="0"/>
          <w:color w:val="000000"/>
          <w:spacing w:val="0"/>
          <w:sz w:val="28"/>
          <w:szCs w:val="28"/>
          <w:shd w:val="clear" w:fill="FFFFFF"/>
          <w:lang w:val="en-US" w:eastAsia="zh-CN"/>
        </w:rPr>
        <w:t>商铺</w:t>
      </w:r>
      <w:r>
        <w:rPr>
          <w:rFonts w:hint="eastAsia" w:ascii="仿宋" w:hAnsi="仿宋" w:eastAsia="仿宋" w:cs="仿宋"/>
          <w:i w:val="0"/>
          <w:iCs w:val="0"/>
          <w:caps w:val="0"/>
          <w:color w:val="000000"/>
          <w:spacing w:val="0"/>
          <w:sz w:val="28"/>
          <w:szCs w:val="28"/>
          <w:shd w:val="clear" w:fill="FFFFFF"/>
        </w:rPr>
        <w:t>卫生工作自查记录。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微软雅黑" w:hAnsi="微软雅黑" w:eastAsia="微软雅黑" w:cs="微软雅黑"/>
          <w:i w:val="0"/>
          <w:iCs w:val="0"/>
          <w:caps w:val="0"/>
          <w:color w:val="333333"/>
          <w:spacing w:val="0"/>
          <w:sz w:val="26"/>
          <w:szCs w:val="26"/>
        </w:rPr>
      </w:pPr>
      <w:r>
        <w:rPr>
          <w:rFonts w:hint="eastAsia" w:ascii="仿宋" w:hAnsi="仿宋" w:eastAsia="仿宋" w:cs="仿宋"/>
          <w:i w:val="0"/>
          <w:iCs w:val="0"/>
          <w:caps w:val="0"/>
          <w:color w:val="000000"/>
          <w:spacing w:val="0"/>
          <w:sz w:val="28"/>
          <w:szCs w:val="28"/>
          <w:shd w:val="clear" w:fill="FFFFFF"/>
          <w:lang w:val="en-US" w:eastAsia="zh-CN"/>
        </w:rPr>
        <w:t>17.</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在经营期间所产生的所有债权、债务关系由</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自理，与医院无关。</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对外经济活动只能以</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自身法人公司名义，不能以医院院内</w:t>
      </w:r>
      <w:r>
        <w:rPr>
          <w:rFonts w:hint="eastAsia" w:ascii="仿宋" w:hAnsi="仿宋" w:eastAsia="仿宋" w:cs="仿宋"/>
          <w:i w:val="0"/>
          <w:iCs w:val="0"/>
          <w:caps w:val="0"/>
          <w:color w:val="000000"/>
          <w:spacing w:val="0"/>
          <w:sz w:val="28"/>
          <w:szCs w:val="28"/>
          <w:shd w:val="clear" w:fill="FFFFFF"/>
          <w:lang w:val="en-US" w:eastAsia="zh-CN"/>
        </w:rPr>
        <w:t>商铺</w:t>
      </w:r>
      <w:r>
        <w:rPr>
          <w:rFonts w:hint="eastAsia" w:ascii="仿宋" w:hAnsi="仿宋" w:eastAsia="仿宋" w:cs="仿宋"/>
          <w:i w:val="0"/>
          <w:iCs w:val="0"/>
          <w:caps w:val="0"/>
          <w:color w:val="000000"/>
          <w:spacing w:val="0"/>
          <w:sz w:val="28"/>
          <w:szCs w:val="28"/>
          <w:shd w:val="clear" w:fill="FFFFFF"/>
        </w:rPr>
        <w:t>名义签订任何经济合约，且医院有权监督乙方在经营期内与供货方的经济来往活动。</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微软雅黑" w:hAnsi="微软雅黑" w:eastAsia="微软雅黑" w:cs="微软雅黑"/>
          <w:i w:val="0"/>
          <w:iCs w:val="0"/>
          <w:caps w:val="0"/>
          <w:color w:val="333333"/>
          <w:spacing w:val="0"/>
          <w:sz w:val="26"/>
          <w:szCs w:val="26"/>
        </w:rPr>
      </w:pPr>
      <w:r>
        <w:rPr>
          <w:rFonts w:hint="eastAsia" w:ascii="仿宋" w:hAnsi="仿宋" w:eastAsia="仿宋" w:cs="仿宋"/>
          <w:i w:val="0"/>
          <w:iCs w:val="0"/>
          <w:caps w:val="0"/>
          <w:color w:val="000000"/>
          <w:spacing w:val="0"/>
          <w:sz w:val="28"/>
          <w:szCs w:val="28"/>
          <w:shd w:val="clear" w:fill="FFFFFF"/>
          <w:lang w:val="en-US" w:eastAsia="zh-CN"/>
        </w:rPr>
        <w:t>18.</w:t>
      </w:r>
      <w:r>
        <w:rPr>
          <w:rFonts w:hint="eastAsia" w:ascii="仿宋" w:hAnsi="仿宋" w:eastAsia="仿宋" w:cs="仿宋"/>
          <w:i w:val="0"/>
          <w:iCs w:val="0"/>
          <w:caps w:val="0"/>
          <w:color w:val="000000"/>
          <w:spacing w:val="0"/>
          <w:sz w:val="28"/>
          <w:szCs w:val="28"/>
          <w:shd w:val="clear" w:fill="FFFFFF"/>
        </w:rPr>
        <w:t>如遇突发或重大事件，</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管理人员应在第一时间报告医院有关部门，</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项目负责人应在第一时间到达现场，适时处理有关问题，医院如认为情况危及到医院的安全稳定，</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无条件同意医院直接调配</w:t>
      </w:r>
      <w:r>
        <w:rPr>
          <w:rFonts w:hint="eastAsia" w:ascii="仿宋" w:hAnsi="仿宋" w:eastAsia="仿宋" w:cs="仿宋"/>
          <w:i w:val="0"/>
          <w:iCs w:val="0"/>
          <w:caps w:val="0"/>
          <w:color w:val="000000"/>
          <w:spacing w:val="0"/>
          <w:sz w:val="28"/>
          <w:szCs w:val="28"/>
          <w:shd w:val="clear" w:fill="FFFFFF"/>
          <w:lang w:eastAsia="zh-CN"/>
        </w:rPr>
        <w:t>投标人</w:t>
      </w:r>
      <w:r>
        <w:rPr>
          <w:rFonts w:hint="eastAsia" w:ascii="仿宋" w:hAnsi="仿宋" w:eastAsia="仿宋" w:cs="仿宋"/>
          <w:i w:val="0"/>
          <w:iCs w:val="0"/>
          <w:caps w:val="0"/>
          <w:color w:val="000000"/>
          <w:spacing w:val="0"/>
          <w:sz w:val="28"/>
          <w:szCs w:val="28"/>
          <w:shd w:val="clear" w:fill="FFFFFF"/>
        </w:rPr>
        <w:t>资源直至危机结束。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0" w:firstLineChars="2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19.本标的合同期满医院有权组织重新招租，投标人必须在得到医院管理部门书面通知30天内退出经营场地，投标人逾期10天未退出者，医院有权不退回投标人的履约保证金，医院将可强制收回经营场地，因此造成的损失由投标人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0" w:firstLineChars="200"/>
        <w:jc w:val="left"/>
        <w:textAlignment w:val="auto"/>
        <w:rPr>
          <w:rFonts w:hint="eastAsia" w:ascii="微软雅黑" w:hAnsi="微软雅黑" w:eastAsia="微软雅黑" w:cs="微软雅黑"/>
          <w:i w:val="0"/>
          <w:iCs w:val="0"/>
          <w:caps w:val="0"/>
          <w:color w:val="333333"/>
          <w:spacing w:val="0"/>
          <w:sz w:val="26"/>
          <w:szCs w:val="26"/>
        </w:rPr>
      </w:pPr>
      <w:r>
        <w:rPr>
          <w:rFonts w:hint="eastAsia" w:ascii="仿宋" w:hAnsi="仿宋" w:eastAsia="仿宋" w:cs="仿宋"/>
          <w:i w:val="0"/>
          <w:iCs w:val="0"/>
          <w:caps w:val="0"/>
          <w:color w:val="000000"/>
          <w:spacing w:val="0"/>
          <w:kern w:val="0"/>
          <w:sz w:val="28"/>
          <w:szCs w:val="28"/>
          <w:shd w:val="clear" w:fill="FFFFFF"/>
          <w:lang w:val="en-US" w:eastAsia="zh-CN" w:bidi="ar"/>
        </w:rPr>
        <w:t>20.投标人因无法继续经营而要终止合同，必须提前两个月向医院管理部门提出书面要求，并须经医院同意，投标人赔偿由此造成医院的损失，承担责任的具体方式由双方协商确定。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0" w:firstLineChars="2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21.如遇合同约定或法定事由出现致使合同需终止或解除时，投标人应自事实发生或医院通知后30天内与医院办理结清手续，交还所承租经营的场地及其它用房。否则，医院有权自行收回，投标人不得因此而向医院主张物品损毁、丢失等其它相关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0" w:firstLineChars="2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22.若因国家发生重大政策性调整，或发生自然灾害等不可抗拒的因素致使合同无法履行时，双方可协商变更或解除合同，双方均不负违约责任。终止合同时交接场地和设备设施，结算有关款项，并办理退还履约保证金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0" w:firstLineChars="2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23.投标人承诺向医院提供的投标人详细信息（包括：住所地、联系电话、常用电子邮箱等）均真实存在、合法有效，并愿意承担相关法律后果。投标人信息若有变动，应及时书面通知医院。在医院收到投标人书面变更通知之前，认定原信息继续有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0" w:firstLineChars="2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24.承租期满后，投标人承租期间添置的可移动物品, 投标人带走，不可移动的物品，投标人无偿交付给出租单位，出租单位不予补偿。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0" w:firstLineChars="2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25.投标人至少配置一名拥有店铺管理经验的项目负责人对商铺进行管理，并负责与院方对接，进行日常的沟通、对账等工作。</w:t>
      </w:r>
    </w:p>
    <w:p>
      <w:pPr>
        <w:keepNext w:val="0"/>
        <w:keepLines w:val="0"/>
        <w:pageBreakBefore w:val="0"/>
        <w:kinsoku/>
        <w:wordWrap/>
        <w:overflowPunct/>
        <w:topLinePunct w:val="0"/>
        <w:autoSpaceDE/>
        <w:autoSpaceDN/>
        <w:bidi w:val="0"/>
        <w:adjustRightInd/>
        <w:snapToGrid w:val="0"/>
        <w:spacing w:line="240" w:lineRule="auto"/>
        <w:ind w:firstLine="562" w:firstLineChars="200"/>
        <w:jc w:val="left"/>
        <w:textAlignment w:val="auto"/>
        <w:rPr>
          <w:rFonts w:hint="default"/>
          <w:lang w:val="en-US" w:eastAsia="zh-CN"/>
        </w:rPr>
      </w:pP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四）其他要求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0" w:firstLineChars="200"/>
        <w:jc w:val="left"/>
        <w:textAlignment w:val="auto"/>
        <w:rPr>
          <w:rFonts w:hint="default" w:ascii="仿宋" w:hAnsi="仿宋" w:eastAsia="仿宋" w:cs="仿宋"/>
          <w:i w:val="0"/>
          <w:iCs w:val="0"/>
          <w:caps w:val="0"/>
          <w:color w:val="000000"/>
          <w:spacing w:val="0"/>
          <w:kern w:val="0"/>
          <w:sz w:val="28"/>
          <w:szCs w:val="28"/>
          <w:highlight w:val="none"/>
          <w:shd w:val="clear" w:fill="FFFFFF"/>
          <w:lang w:val="en-US" w:eastAsia="zh-CN" w:bidi="ar"/>
        </w:rPr>
      </w:pPr>
      <w:r>
        <w:rPr>
          <w:rFonts w:hint="eastAsia" w:ascii="仿宋" w:hAnsi="仿宋" w:eastAsia="仿宋" w:cs="仿宋"/>
          <w:i w:val="0"/>
          <w:iCs w:val="0"/>
          <w:caps w:val="0"/>
          <w:color w:val="000000"/>
          <w:spacing w:val="0"/>
          <w:kern w:val="0"/>
          <w:sz w:val="28"/>
          <w:szCs w:val="28"/>
          <w:highlight w:val="none"/>
          <w:shd w:val="clear" w:fill="FFFFFF"/>
          <w:lang w:val="en-US" w:eastAsia="zh-CN" w:bidi="ar"/>
        </w:rPr>
        <w:t>1.投标人需提供相应的商铺进驻方案，包括但不限于各区域拟进驻店铺品牌名称、主要经营范围、进驻时间安排等。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0" w:firstLineChars="200"/>
        <w:jc w:val="left"/>
        <w:textAlignment w:val="auto"/>
        <w:rPr>
          <w:rFonts w:hint="eastAsia" w:ascii="仿宋" w:hAnsi="仿宋" w:eastAsia="仿宋" w:cs="仿宋"/>
          <w:i w:val="0"/>
          <w:iCs w:val="0"/>
          <w:caps w:val="0"/>
          <w:color w:val="000000"/>
          <w:spacing w:val="0"/>
          <w:kern w:val="0"/>
          <w:sz w:val="28"/>
          <w:szCs w:val="28"/>
          <w:highlight w:val="none"/>
          <w:shd w:val="clear" w:fill="FFFFFF"/>
          <w:lang w:val="en-US" w:eastAsia="zh-CN" w:bidi="ar"/>
        </w:rPr>
      </w:pPr>
      <w:r>
        <w:rPr>
          <w:rFonts w:hint="eastAsia" w:ascii="仿宋" w:hAnsi="仿宋" w:eastAsia="仿宋" w:cs="仿宋"/>
          <w:i w:val="0"/>
          <w:iCs w:val="0"/>
          <w:caps w:val="0"/>
          <w:color w:val="000000"/>
          <w:spacing w:val="0"/>
          <w:kern w:val="0"/>
          <w:sz w:val="28"/>
          <w:szCs w:val="28"/>
          <w:highlight w:val="none"/>
          <w:shd w:val="clear" w:fill="FFFFFF"/>
          <w:lang w:val="en-US" w:eastAsia="zh-CN" w:bidi="ar"/>
        </w:rPr>
        <w:t>2.投标人需提供相应的项目整体实施方案，包括但不限于经营模式、设计理念、装修方案、运营计划等。</w:t>
      </w:r>
    </w:p>
    <w:p>
      <w:pPr>
        <w:pStyle w:val="2"/>
        <w:rPr>
          <w:rFonts w:hint="eastAsia" w:eastAsia="宋体"/>
          <w:lang w:val="en-US" w:eastAsia="zh-CN"/>
        </w:rPr>
      </w:pPr>
      <w:r>
        <w:rPr>
          <w:rFonts w:hint="eastAsia" w:ascii="仿宋" w:hAnsi="仿宋" w:eastAsia="仿宋" w:cs="仿宋"/>
          <w:i w:val="0"/>
          <w:iCs w:val="0"/>
          <w:caps w:val="0"/>
          <w:color w:val="000000"/>
          <w:spacing w:val="0"/>
          <w:kern w:val="0"/>
          <w:sz w:val="28"/>
          <w:szCs w:val="28"/>
          <w:highlight w:val="none"/>
          <w:shd w:val="clear" w:fill="FFFFFF"/>
          <w:lang w:val="en-US" w:eastAsia="zh-CN" w:bidi="ar"/>
        </w:rPr>
        <w:t xml:space="preserve">    3.投标人需提供建立相应的食品安全管理制度。</w:t>
      </w:r>
    </w:p>
    <w:p>
      <w:pPr>
        <w:spacing w:line="360" w:lineRule="auto"/>
        <w:ind w:firstLine="562" w:firstLineChars="200"/>
        <w:jc w:val="center"/>
        <w:outlineLvl w:val="1"/>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lang w:val="en-US" w:eastAsia="zh-CN"/>
        </w:rPr>
        <w:t>三</w:t>
      </w:r>
      <w:r>
        <w:rPr>
          <w:rFonts w:hint="eastAsia" w:ascii="仿宋" w:hAnsi="仿宋" w:eastAsia="仿宋"/>
          <w:b/>
          <w:color w:val="000000"/>
          <w:sz w:val="28"/>
          <w:szCs w:val="28"/>
          <w:shd w:val="clear" w:color="auto" w:fill="FFFFFF"/>
        </w:rPr>
        <w:t>、采购项目</w:t>
      </w:r>
      <w:r>
        <w:rPr>
          <w:rFonts w:hint="eastAsia" w:ascii="仿宋" w:hAnsi="仿宋" w:eastAsia="仿宋"/>
          <w:b/>
          <w:color w:val="000000"/>
          <w:sz w:val="28"/>
          <w:szCs w:val="28"/>
          <w:shd w:val="clear" w:color="auto" w:fill="FFFFFF"/>
          <w:lang w:val="en-US" w:eastAsia="zh-CN"/>
        </w:rPr>
        <w:t>商务</w:t>
      </w:r>
      <w:r>
        <w:rPr>
          <w:rFonts w:hint="eastAsia" w:ascii="仿宋" w:hAnsi="仿宋" w:eastAsia="仿宋"/>
          <w:b/>
          <w:color w:val="000000"/>
          <w:sz w:val="28"/>
          <w:szCs w:val="28"/>
          <w:shd w:val="clear" w:color="auto" w:fill="FFFFFF"/>
        </w:rPr>
        <w:t>要求</w:t>
      </w:r>
    </w:p>
    <w:p>
      <w:pPr>
        <w:pStyle w:val="2"/>
        <w:rPr>
          <w:rFonts w:hint="default"/>
          <w:b w:val="0"/>
          <w:bCs/>
          <w:lang w:val="en-US" w:eastAsia="zh-CN"/>
        </w:rPr>
      </w:pPr>
    </w:p>
    <w:p>
      <w:pPr>
        <w:keepNext w:val="0"/>
        <w:keepLines w:val="0"/>
        <w:pageBreakBefore w:val="0"/>
        <w:kinsoku/>
        <w:wordWrap/>
        <w:overflowPunct/>
        <w:topLinePunct w:val="0"/>
        <w:autoSpaceDE/>
        <w:autoSpaceDN/>
        <w:bidi w:val="0"/>
        <w:adjustRightInd/>
        <w:snapToGrid w:val="0"/>
        <w:spacing w:line="240" w:lineRule="auto"/>
        <w:ind w:firstLine="562" w:firstLineChars="200"/>
        <w:jc w:val="left"/>
        <w:textAlignment w:val="auto"/>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（一）报价要求：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0" w:firstLineChars="2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1.报价不得低于起租价。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0" w:firstLineChars="20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2.报价仅为商铺租金，不包含装修费、清洁费以及经营期间产生的水、电等费用。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2" w:firstLineChars="2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（二）承租期：</w:t>
      </w:r>
      <w:r>
        <w:rPr>
          <w:rFonts w:hint="eastAsia" w:ascii="仿宋" w:hAnsi="仿宋" w:eastAsia="仿宋" w:cs="仿宋"/>
          <w:i w:val="0"/>
          <w:iCs w:val="0"/>
          <w:caps w:val="0"/>
          <w:color w:val="000000"/>
          <w:spacing w:val="0"/>
          <w:kern w:val="0"/>
          <w:sz w:val="28"/>
          <w:szCs w:val="28"/>
          <w:shd w:val="clear" w:fill="FFFFFF"/>
          <w:lang w:val="en-US" w:eastAsia="zh-CN" w:bidi="ar"/>
        </w:rPr>
        <w:t>合同生效之日起三年。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2" w:firstLineChars="20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（三）标的地点：</w:t>
      </w:r>
      <w:r>
        <w:rPr>
          <w:rFonts w:hint="eastAsia" w:ascii="仿宋" w:hAnsi="仿宋" w:eastAsia="仿宋" w:cs="仿宋"/>
          <w:i w:val="0"/>
          <w:iCs w:val="0"/>
          <w:caps w:val="0"/>
          <w:color w:val="000000"/>
          <w:spacing w:val="0"/>
          <w:kern w:val="0"/>
          <w:sz w:val="28"/>
          <w:szCs w:val="28"/>
          <w:shd w:val="clear" w:fill="FFFFFF"/>
          <w:lang w:val="en-US" w:eastAsia="zh-CN" w:bidi="ar"/>
        </w:rPr>
        <w:t>佛山市禅城区佛山市第二人民医院绿岛湖院区B1地下落客大厅。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2" w:firstLineChars="200"/>
        <w:jc w:val="left"/>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（四）租金起算时间：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0" w:firstLineChars="2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待采购人完成基础水电设施改造及承租人装修方案通过审核后，采购人向承租人出具进场通知。自进场通知发出之日起，前两个月为免租期，租金自第三个月起开始计算。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2" w:firstLineChars="200"/>
        <w:jc w:val="left"/>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（五）付款方式：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0" w:firstLineChars="2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1.按月结算，先缴纳后使用，每月10日前投标人向出租单位缴纳当月租金。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0" w:firstLineChars="2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2.租金不包含水费、电费等租赁期间所产生的相关费用。本标的在使用期间所产生的水费、电费按表计量，由投标人每月10日前向出租单位缴纳上月水、电费。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562" w:firstLineChars="2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（六）履约保证金：</w:t>
      </w:r>
      <w:r>
        <w:rPr>
          <w:rFonts w:hint="eastAsia" w:ascii="仿宋" w:hAnsi="仿宋" w:eastAsia="仿宋" w:cs="仿宋"/>
          <w:b w:val="0"/>
          <w:bCs w:val="0"/>
          <w:i w:val="0"/>
          <w:iCs w:val="0"/>
          <w:caps w:val="0"/>
          <w:color w:val="000000"/>
          <w:spacing w:val="0"/>
          <w:kern w:val="0"/>
          <w:sz w:val="28"/>
          <w:szCs w:val="28"/>
          <w:shd w:val="clear" w:fill="FFFFFF"/>
          <w:lang w:val="en-US" w:eastAsia="zh-CN" w:bidi="ar"/>
        </w:rPr>
        <w:t>投标人</w:t>
      </w:r>
      <w:r>
        <w:rPr>
          <w:rFonts w:hint="eastAsia" w:ascii="仿宋" w:hAnsi="仿宋" w:eastAsia="仿宋" w:cs="仿宋"/>
          <w:i w:val="0"/>
          <w:iCs w:val="0"/>
          <w:caps w:val="0"/>
          <w:color w:val="000000"/>
          <w:spacing w:val="0"/>
          <w:kern w:val="0"/>
          <w:sz w:val="28"/>
          <w:szCs w:val="28"/>
          <w:shd w:val="clear" w:fill="FFFFFF"/>
          <w:lang w:val="en-US" w:eastAsia="zh-CN" w:bidi="ar"/>
        </w:rPr>
        <w:t>自合同生效之日5个工作日内向出租单位缴纳履约保证金5万元。待合同结期满完成结算后，凭收据在20个工作日内全额无息退回。</w:t>
      </w:r>
    </w:p>
    <w:p>
      <w:pPr>
        <w:pStyle w:val="2"/>
        <w:rPr>
          <w:rFonts w:hint="eastAsia" w:ascii="仿宋" w:hAnsi="仿宋" w:eastAsia="仿宋" w:cs="仿宋"/>
          <w:i w:val="0"/>
          <w:iCs w:val="0"/>
          <w:caps w:val="0"/>
          <w:color w:val="000000"/>
          <w:spacing w:val="0"/>
          <w:kern w:val="0"/>
          <w:sz w:val="28"/>
          <w:szCs w:val="28"/>
          <w:shd w:val="clear" w:fill="FFFFFF"/>
          <w:lang w:val="en-US" w:eastAsia="zh-CN" w:bidi="ar"/>
        </w:rPr>
      </w:pPr>
    </w:p>
    <w:p>
      <w:pPr>
        <w:pStyle w:val="2"/>
        <w:rPr>
          <w:rFonts w:hint="eastAsia" w:eastAsia="宋体"/>
          <w:lang w:val="en-US" w:eastAsia="zh-CN"/>
        </w:rPr>
      </w:pPr>
    </w:p>
    <w:p>
      <w:pPr>
        <w:pStyle w:val="2"/>
        <w:rPr>
          <w:rFonts w:hint="default" w:ascii="仿宋" w:hAnsi="仿宋" w:eastAsia="仿宋" w:cs="仿宋"/>
          <w:i w:val="0"/>
          <w:iCs w:val="0"/>
          <w:caps w:val="0"/>
          <w:color w:val="000000"/>
          <w:spacing w:val="0"/>
          <w:kern w:val="0"/>
          <w:sz w:val="28"/>
          <w:szCs w:val="28"/>
          <w:shd w:val="clear" w:fill="FFFFFF"/>
          <w:lang w:val="en-US" w:eastAsia="zh-CN" w:bidi="ar"/>
        </w:rPr>
      </w:pPr>
    </w:p>
    <w:p>
      <w:pPr>
        <w:pStyle w:val="2"/>
        <w:rPr>
          <w:rFonts w:hint="default" w:ascii="仿宋" w:hAnsi="仿宋" w:eastAsia="仿宋" w:cs="仿宋"/>
          <w:i w:val="0"/>
          <w:iCs w:val="0"/>
          <w:caps w:val="0"/>
          <w:color w:val="000000"/>
          <w:spacing w:val="0"/>
          <w:kern w:val="0"/>
          <w:sz w:val="28"/>
          <w:szCs w:val="2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FC"/>
    <w:rsid w:val="00006809"/>
    <w:rsid w:val="00076852"/>
    <w:rsid w:val="00087174"/>
    <w:rsid w:val="00181A6C"/>
    <w:rsid w:val="001965FD"/>
    <w:rsid w:val="002B188F"/>
    <w:rsid w:val="002C574E"/>
    <w:rsid w:val="002C6C1F"/>
    <w:rsid w:val="00515F77"/>
    <w:rsid w:val="00526916"/>
    <w:rsid w:val="00544F69"/>
    <w:rsid w:val="006961BC"/>
    <w:rsid w:val="007346B7"/>
    <w:rsid w:val="0076125D"/>
    <w:rsid w:val="00782C3A"/>
    <w:rsid w:val="008A2BFD"/>
    <w:rsid w:val="00981490"/>
    <w:rsid w:val="009E0F2D"/>
    <w:rsid w:val="00AA33FC"/>
    <w:rsid w:val="00B132B0"/>
    <w:rsid w:val="00B772B7"/>
    <w:rsid w:val="00BE03E5"/>
    <w:rsid w:val="00C03507"/>
    <w:rsid w:val="00D57401"/>
    <w:rsid w:val="00D7637D"/>
    <w:rsid w:val="00DD328A"/>
    <w:rsid w:val="00ED217E"/>
    <w:rsid w:val="02A76009"/>
    <w:rsid w:val="03292E3E"/>
    <w:rsid w:val="03B205DF"/>
    <w:rsid w:val="057D69E2"/>
    <w:rsid w:val="09250040"/>
    <w:rsid w:val="0A115B97"/>
    <w:rsid w:val="0A5B410A"/>
    <w:rsid w:val="0B7E0D69"/>
    <w:rsid w:val="0D0E4978"/>
    <w:rsid w:val="0E46496B"/>
    <w:rsid w:val="11E43BE6"/>
    <w:rsid w:val="12693BE7"/>
    <w:rsid w:val="13236AF1"/>
    <w:rsid w:val="151E215B"/>
    <w:rsid w:val="15D22C90"/>
    <w:rsid w:val="16B95847"/>
    <w:rsid w:val="16D0666A"/>
    <w:rsid w:val="18B012B6"/>
    <w:rsid w:val="1A3D0518"/>
    <w:rsid w:val="1A4E5290"/>
    <w:rsid w:val="1C394ADA"/>
    <w:rsid w:val="1DC42063"/>
    <w:rsid w:val="1E7E4597"/>
    <w:rsid w:val="227E3026"/>
    <w:rsid w:val="230820A2"/>
    <w:rsid w:val="2364201F"/>
    <w:rsid w:val="2666570F"/>
    <w:rsid w:val="2751350E"/>
    <w:rsid w:val="282D79F9"/>
    <w:rsid w:val="29A0362E"/>
    <w:rsid w:val="2CC60C35"/>
    <w:rsid w:val="2CCA5505"/>
    <w:rsid w:val="2D990460"/>
    <w:rsid w:val="2E331558"/>
    <w:rsid w:val="335E1555"/>
    <w:rsid w:val="362058DB"/>
    <w:rsid w:val="383813C8"/>
    <w:rsid w:val="38591578"/>
    <w:rsid w:val="398E0DAD"/>
    <w:rsid w:val="39EF5652"/>
    <w:rsid w:val="3AEC66D3"/>
    <w:rsid w:val="3BDD7DCA"/>
    <w:rsid w:val="3EDA6843"/>
    <w:rsid w:val="3F066461"/>
    <w:rsid w:val="3F0D09C6"/>
    <w:rsid w:val="41685D5D"/>
    <w:rsid w:val="417E402D"/>
    <w:rsid w:val="442A0DE4"/>
    <w:rsid w:val="45C42872"/>
    <w:rsid w:val="47114761"/>
    <w:rsid w:val="47BB1E06"/>
    <w:rsid w:val="48BB5F16"/>
    <w:rsid w:val="48D662CD"/>
    <w:rsid w:val="496202E5"/>
    <w:rsid w:val="49C401FF"/>
    <w:rsid w:val="4A474A71"/>
    <w:rsid w:val="4A55459D"/>
    <w:rsid w:val="4AA8436C"/>
    <w:rsid w:val="4B4D1E16"/>
    <w:rsid w:val="4B5317A1"/>
    <w:rsid w:val="4B7C315C"/>
    <w:rsid w:val="4BF4712C"/>
    <w:rsid w:val="4CBB7136"/>
    <w:rsid w:val="4DD70FFB"/>
    <w:rsid w:val="501174D1"/>
    <w:rsid w:val="527A416D"/>
    <w:rsid w:val="527B24DD"/>
    <w:rsid w:val="52E5410B"/>
    <w:rsid w:val="536B4BD1"/>
    <w:rsid w:val="56AD2D63"/>
    <w:rsid w:val="57081358"/>
    <w:rsid w:val="57A005D2"/>
    <w:rsid w:val="5AAB08D1"/>
    <w:rsid w:val="5C0C7E11"/>
    <w:rsid w:val="62055EDD"/>
    <w:rsid w:val="631F0B45"/>
    <w:rsid w:val="63F931CD"/>
    <w:rsid w:val="64DB5A06"/>
    <w:rsid w:val="65E12D35"/>
    <w:rsid w:val="65E168ED"/>
    <w:rsid w:val="68255E58"/>
    <w:rsid w:val="6C0D6CD2"/>
    <w:rsid w:val="6C3B768B"/>
    <w:rsid w:val="6DE90B62"/>
    <w:rsid w:val="6E582BFA"/>
    <w:rsid w:val="71435060"/>
    <w:rsid w:val="73EF26C0"/>
    <w:rsid w:val="74CE4179"/>
    <w:rsid w:val="765C57B4"/>
    <w:rsid w:val="78E977D3"/>
    <w:rsid w:val="7BD82152"/>
    <w:rsid w:val="7D8B1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5"/>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7">
    <w:name w:val="heading 5"/>
    <w:basedOn w:val="1"/>
    <w:next w:val="1"/>
    <w:link w:val="26"/>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8">
    <w:name w:val="heading 6"/>
    <w:basedOn w:val="1"/>
    <w:next w:val="1"/>
    <w:link w:val="27"/>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szCs w:val="22"/>
    </w:rPr>
  </w:style>
  <w:style w:type="paragraph" w:styleId="9">
    <w:name w:val="heading 7"/>
    <w:basedOn w:val="1"/>
    <w:next w:val="1"/>
    <w:link w:val="28"/>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10">
    <w:name w:val="heading 8"/>
    <w:basedOn w:val="1"/>
    <w:next w:val="1"/>
    <w:link w:val="29"/>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1">
    <w:name w:val="heading 9"/>
    <w:basedOn w:val="1"/>
    <w:next w:val="1"/>
    <w:link w:val="30"/>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sz w:val="24"/>
      <w:szCs w:val="24"/>
    </w:rPr>
  </w:style>
  <w:style w:type="paragraph" w:styleId="12">
    <w:name w:val="annotation text"/>
    <w:basedOn w:val="1"/>
    <w:unhideWhenUsed/>
    <w:qFormat/>
    <w:uiPriority w:val="99"/>
    <w:pPr>
      <w:jc w:val="left"/>
    </w:pPr>
  </w:style>
  <w:style w:type="paragraph" w:styleId="13">
    <w:name w:val="footer"/>
    <w:basedOn w:val="1"/>
    <w:link w:val="4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40"/>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annotation reference"/>
    <w:basedOn w:val="20"/>
    <w:semiHidden/>
    <w:unhideWhenUsed/>
    <w:qFormat/>
    <w:uiPriority w:val="99"/>
    <w:rPr>
      <w:sz w:val="21"/>
      <w:szCs w:val="21"/>
    </w:rPr>
  </w:style>
  <w:style w:type="character" w:customStyle="1" w:styleId="22">
    <w:name w:val="标题 1 字符"/>
    <w:basedOn w:val="20"/>
    <w:link w:val="3"/>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20"/>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20"/>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20"/>
    <w:link w:val="6"/>
    <w:semiHidden/>
    <w:qFormat/>
    <w:uiPriority w:val="9"/>
    <w:rPr>
      <w:rFonts w:cstheme="majorBidi"/>
      <w:color w:val="2F5597" w:themeColor="accent1" w:themeShade="BF"/>
      <w:sz w:val="28"/>
      <w:szCs w:val="28"/>
    </w:rPr>
  </w:style>
  <w:style w:type="character" w:customStyle="1" w:styleId="26">
    <w:name w:val="标题 5 字符"/>
    <w:basedOn w:val="20"/>
    <w:link w:val="7"/>
    <w:semiHidden/>
    <w:qFormat/>
    <w:uiPriority w:val="9"/>
    <w:rPr>
      <w:rFonts w:cstheme="majorBidi"/>
      <w:color w:val="2F5597" w:themeColor="accent1" w:themeShade="BF"/>
      <w:sz w:val="24"/>
      <w:szCs w:val="24"/>
    </w:rPr>
  </w:style>
  <w:style w:type="character" w:customStyle="1" w:styleId="27">
    <w:name w:val="标题 6 字符"/>
    <w:basedOn w:val="20"/>
    <w:link w:val="8"/>
    <w:semiHidden/>
    <w:qFormat/>
    <w:uiPriority w:val="9"/>
    <w:rPr>
      <w:rFonts w:cstheme="majorBidi"/>
      <w:b/>
      <w:bCs/>
      <w:color w:val="2F5597" w:themeColor="accent1" w:themeShade="BF"/>
    </w:rPr>
  </w:style>
  <w:style w:type="character" w:customStyle="1" w:styleId="28">
    <w:name w:val="标题 7 字符"/>
    <w:basedOn w:val="20"/>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0"/>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0"/>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34">
    <w:name w:val="引用 字符"/>
    <w:basedOn w:val="20"/>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36">
    <w:name w:val="明显强调1"/>
    <w:basedOn w:val="20"/>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szCs w:val="22"/>
    </w:rPr>
  </w:style>
  <w:style w:type="character" w:customStyle="1" w:styleId="38">
    <w:name w:val="明显引用 字符"/>
    <w:basedOn w:val="20"/>
    <w:link w:val="37"/>
    <w:qFormat/>
    <w:uiPriority w:val="30"/>
    <w:rPr>
      <w:i/>
      <w:iCs/>
      <w:color w:val="2F5597" w:themeColor="accent1" w:themeShade="BF"/>
    </w:rPr>
  </w:style>
  <w:style w:type="character" w:customStyle="1" w:styleId="39">
    <w:name w:val="明显参考1"/>
    <w:basedOn w:val="20"/>
    <w:qFormat/>
    <w:uiPriority w:val="32"/>
    <w:rPr>
      <w:b/>
      <w:bCs/>
      <w:smallCaps/>
      <w:color w:val="2F5597" w:themeColor="accent1" w:themeShade="BF"/>
      <w:spacing w:val="5"/>
    </w:rPr>
  </w:style>
  <w:style w:type="character" w:customStyle="1" w:styleId="40">
    <w:name w:val="页眉 字符"/>
    <w:basedOn w:val="20"/>
    <w:link w:val="14"/>
    <w:qFormat/>
    <w:uiPriority w:val="99"/>
    <w:rPr>
      <w:sz w:val="18"/>
      <w:szCs w:val="18"/>
    </w:rPr>
  </w:style>
  <w:style w:type="character" w:customStyle="1" w:styleId="41">
    <w:name w:val="页脚 字符"/>
    <w:basedOn w:val="20"/>
    <w:link w:val="1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4998</Words>
  <Characters>5118</Characters>
  <Lines>40</Lines>
  <Paragraphs>46</Paragraphs>
  <TotalTime>8</TotalTime>
  <ScaleCrop>false</ScaleCrop>
  <LinksUpToDate>false</LinksUpToDate>
  <CharactersWithSpaces>5131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2025-02-20T03:58:00Z</dcterms:created>
  <dc:creator>柯羽达</dc:creator>
  <cp:lastModifiedBy>zzc</cp:lastModifiedBy>
  <dcterms:modified xsi:type="dcterms:W3CDTF">2025-08-19T01:33:48Z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020A515339AD4815AFFAF0DFC0B31A5C_13</vt:lpwstr>
  </property>
  <property fmtid="{D5CDD505-2E9C-101B-9397-08002B2CF9AE}" pid="4" name="KSOTemplateDocerSaveRecord">
    <vt:lpwstr>eyJoZGlkIjoiOWE5ZWZjZDliY2NlMDUxOGJkNGEwNThhYjVjZjY2YjUiLCJ1c2VySWQiOiIxMzk1NjUxMDg2In0=</vt:lpwstr>
  </property>
</Properties>
</file>