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27DDB">
      <w:pPr>
        <w:spacing w:line="360" w:lineRule="auto"/>
        <w:jc w:val="center"/>
        <w:rPr>
          <w:rFonts w:hint="eastAsia" w:ascii="黑体" w:hAnsi="黑体" w:eastAsia="黑体"/>
          <w:b/>
          <w:sz w:val="44"/>
          <w:szCs w:val="44"/>
          <w:shd w:val="clear" w:color="auto" w:fill="FFFFFF"/>
        </w:rPr>
      </w:pPr>
      <w:bookmarkStart w:id="0" w:name="_Toc140291626"/>
      <w:bookmarkStart w:id="1" w:name="_Toc81275638"/>
      <w:bookmarkStart w:id="2" w:name="_Toc77993109"/>
      <w:bookmarkStart w:id="3" w:name="_Toc78097180"/>
      <w:bookmarkStart w:id="4" w:name="_Toc37670349"/>
      <w:bookmarkStart w:id="5" w:name="_Toc14948621"/>
      <w:bookmarkStart w:id="6" w:name="_Toc61428966"/>
      <w:bookmarkStart w:id="7" w:name="_Toc77990991"/>
      <w:bookmarkStart w:id="8" w:name="_Toc14948875"/>
      <w:bookmarkStart w:id="9" w:name="_Toc14887557"/>
      <w:bookmarkStart w:id="10" w:name="_Toc3306007"/>
      <w:r>
        <w:rPr>
          <w:rFonts w:hint="eastAsia" w:ascii="黑体" w:hAnsi="黑体" w:eastAsia="黑体"/>
          <w:b/>
          <w:sz w:val="44"/>
          <w:szCs w:val="44"/>
          <w:shd w:val="clear" w:color="auto" w:fill="FFFFFF"/>
        </w:rPr>
        <w:t>出租医院3号楼西侧休闲区开展便民服务评估服务项目需求书</w:t>
      </w:r>
    </w:p>
    <w:p w14:paraId="144385B6">
      <w:pPr>
        <w:spacing w:line="360" w:lineRule="auto"/>
        <w:jc w:val="center"/>
        <w:rPr>
          <w:rFonts w:hint="eastAsia" w:ascii="黑体" w:hAnsi="黑体" w:eastAsia="黑体"/>
          <w:b/>
          <w:sz w:val="44"/>
          <w:szCs w:val="44"/>
          <w:shd w:val="clear" w:color="auto" w:fill="FFFFFF"/>
        </w:rPr>
      </w:pPr>
    </w:p>
    <w:bookmarkEnd w:id="0"/>
    <w:bookmarkEnd w:id="1"/>
    <w:bookmarkEnd w:id="2"/>
    <w:bookmarkEnd w:id="3"/>
    <w:bookmarkEnd w:id="4"/>
    <w:bookmarkEnd w:id="5"/>
    <w:bookmarkEnd w:id="6"/>
    <w:bookmarkEnd w:id="7"/>
    <w:bookmarkEnd w:id="8"/>
    <w:bookmarkEnd w:id="9"/>
    <w:bookmarkEnd w:id="10"/>
    <w:p w14:paraId="3E13C1D9">
      <w:pPr>
        <w:keepNext w:val="0"/>
        <w:keepLines w:val="0"/>
        <w:pageBreakBefore w:val="0"/>
        <w:widowControl w:val="0"/>
        <w:numPr>
          <w:ilvl w:val="0"/>
          <w:numId w:val="1"/>
        </w:numPr>
        <w:kinsoku/>
        <w:wordWrap/>
        <w:overflowPunct/>
        <w:topLinePunct w:val="0"/>
        <w:autoSpaceDE/>
        <w:autoSpaceDN/>
        <w:bidi w:val="0"/>
        <w:adjustRightInd/>
        <w:snapToGrid/>
        <w:spacing w:after="313" w:afterLines="100" w:line="360" w:lineRule="auto"/>
        <w:jc w:val="center"/>
        <w:textAlignment w:val="auto"/>
        <w:outlineLvl w:val="1"/>
        <w:rPr>
          <w:rFonts w:hint="eastAsia" w:ascii="仿宋" w:hAnsi="仿宋" w:eastAsia="仿宋" w:cs="仿宋"/>
          <w:b/>
          <w:sz w:val="28"/>
          <w:szCs w:val="28"/>
          <w:shd w:val="clear" w:color="auto" w:fill="FFFFFF"/>
          <w:lang w:val="en-US" w:eastAsia="zh-CN"/>
        </w:rPr>
      </w:pPr>
      <w:bookmarkStart w:id="11" w:name="_Toc107297762"/>
      <w:r>
        <w:rPr>
          <w:rFonts w:hint="eastAsia" w:ascii="仿宋" w:hAnsi="仿宋" w:eastAsia="仿宋" w:cs="仿宋"/>
          <w:b/>
          <w:sz w:val="28"/>
          <w:szCs w:val="28"/>
          <w:shd w:val="clear" w:color="auto" w:fill="FFFFFF"/>
          <w:lang w:val="en-US" w:eastAsia="zh-CN"/>
        </w:rPr>
        <w:t>供应商资格要求</w:t>
      </w:r>
    </w:p>
    <w:p w14:paraId="7254439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1.供应商必须符合《中华人民共和国政府采购法》第二十二条规定的条件；</w:t>
      </w:r>
    </w:p>
    <w:p w14:paraId="08B995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2.供应商具有独立承担民事责任能力的，在中华人民共和国境内注册的法人，且具备从事本项目经营范围和能力；</w:t>
      </w:r>
    </w:p>
    <w:p w14:paraId="70ABE77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3.供应商具有依法缴纳税收和社会保障资金的良好记录；</w:t>
      </w:r>
    </w:p>
    <w:p w14:paraId="3751BC7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4.供应商（含其授权的下属单位、分支机构）近三年内在经营活动中没有重大违法行为；</w:t>
      </w:r>
    </w:p>
    <w:p w14:paraId="7C53F92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5.本项目的特定资格要求：</w:t>
      </w:r>
    </w:p>
    <w:p w14:paraId="2EE833A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①供应商具有广东政府采购智慧云平台内的定点采购资格；</w:t>
      </w:r>
    </w:p>
    <w:p w14:paraId="2D1EBB57">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②供应商要具有广东省财政厅备案资质证书；</w:t>
      </w:r>
    </w:p>
    <w:p w14:paraId="1ECEA89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③评估师具有资产评估协会执业证书（非实习评估师</w:t>
      </w:r>
      <w:bookmarkStart w:id="12" w:name="_GoBack"/>
      <w:bookmarkEnd w:id="12"/>
      <w:r>
        <w:rPr>
          <w:rFonts w:hint="eastAsia" w:ascii="仿宋" w:hAnsi="仿宋" w:eastAsia="仿宋" w:cs="仿宋"/>
          <w:b/>
          <w:bCs w:val="0"/>
          <w:sz w:val="28"/>
          <w:szCs w:val="28"/>
          <w:lang w:val="en-US" w:eastAsia="zh-CN"/>
        </w:rPr>
        <w:t>），近五年中国资产评估协会无违规；</w:t>
      </w:r>
    </w:p>
    <w:p w14:paraId="07B27D3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④供应商为佛山市内评估公司；</w:t>
      </w:r>
    </w:p>
    <w:p w14:paraId="56C7734B">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⑤供应商具有佛山市三甲医院同类项目评估业绩；</w:t>
      </w:r>
    </w:p>
    <w:p w14:paraId="50947E1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sz w:val="28"/>
          <w:szCs w:val="28"/>
          <w:shd w:val="clear" w:color="auto" w:fill="FFFFFF"/>
          <w:lang w:val="en-US" w:eastAsia="zh-CN"/>
        </w:rPr>
      </w:pPr>
      <w:r>
        <w:rPr>
          <w:rFonts w:hint="eastAsia" w:ascii="仿宋" w:hAnsi="仿宋" w:eastAsia="仿宋" w:cs="仿宋"/>
          <w:b w:val="0"/>
          <w:bCs/>
          <w:sz w:val="28"/>
          <w:szCs w:val="28"/>
          <w:lang w:val="en-US" w:eastAsia="zh-CN"/>
        </w:rPr>
        <w:t>6.本项目不接受联合体参加。</w:t>
      </w:r>
    </w:p>
    <w:p w14:paraId="57F99EAA">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1"/>
        <w:rPr>
          <w:rFonts w:hint="eastAsia" w:ascii="仿宋" w:hAnsi="仿宋" w:eastAsia="仿宋" w:cs="仿宋"/>
          <w:b/>
          <w:sz w:val="28"/>
          <w:szCs w:val="28"/>
          <w:shd w:val="clear" w:color="auto" w:fill="FFFFFF"/>
        </w:rPr>
      </w:pPr>
      <w:r>
        <w:rPr>
          <w:rFonts w:hint="eastAsia" w:ascii="仿宋" w:hAnsi="仿宋" w:eastAsia="仿宋" w:cs="仿宋"/>
          <w:b/>
          <w:sz w:val="28"/>
          <w:szCs w:val="28"/>
          <w:shd w:val="clear" w:color="auto" w:fill="FFFFFF"/>
          <w:lang w:val="en-US" w:eastAsia="zh-CN"/>
        </w:rPr>
        <w:t>二</w:t>
      </w:r>
      <w:r>
        <w:rPr>
          <w:rFonts w:hint="eastAsia" w:ascii="仿宋" w:hAnsi="仿宋" w:eastAsia="仿宋" w:cs="仿宋"/>
          <w:b/>
          <w:sz w:val="28"/>
          <w:szCs w:val="28"/>
          <w:shd w:val="clear" w:color="auto" w:fill="FFFFFF"/>
        </w:rPr>
        <w:t>、</w:t>
      </w:r>
      <w:bookmarkEnd w:id="11"/>
      <w:r>
        <w:rPr>
          <w:rFonts w:hint="eastAsia" w:ascii="仿宋" w:hAnsi="仿宋" w:eastAsia="仿宋" w:cs="仿宋"/>
          <w:b/>
          <w:sz w:val="28"/>
          <w:szCs w:val="28"/>
          <w:shd w:val="clear" w:color="auto" w:fill="FFFFFF"/>
        </w:rPr>
        <w:t>项目技术服务要求</w:t>
      </w:r>
    </w:p>
    <w:p w14:paraId="16F9FFB9">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val="0"/>
          <w:sz w:val="28"/>
          <w:szCs w:val="28"/>
          <w:lang w:val="en-US" w:eastAsia="zh-CN"/>
        </w:rPr>
      </w:pPr>
      <w:r>
        <w:rPr>
          <w:rFonts w:hint="eastAsia" w:ascii="仿宋" w:hAnsi="仿宋" w:eastAsia="仿宋" w:cs="仿宋"/>
          <w:b/>
          <w:bCs w:val="0"/>
          <w:sz w:val="28"/>
          <w:szCs w:val="28"/>
        </w:rPr>
        <w:t>（一）</w:t>
      </w:r>
      <w:r>
        <w:rPr>
          <w:rFonts w:hint="eastAsia" w:ascii="仿宋" w:hAnsi="仿宋" w:eastAsia="仿宋" w:cs="仿宋"/>
          <w:b/>
          <w:bCs w:val="0"/>
          <w:sz w:val="28"/>
          <w:szCs w:val="28"/>
          <w:lang w:val="en-US" w:eastAsia="zh-CN"/>
        </w:rPr>
        <w:t>项目概况</w:t>
      </w:r>
    </w:p>
    <w:p w14:paraId="5F86F31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1.对佛山市禅城区卫国路78号佛山市第二人民医院卫国路院区3号楼西侧休闲区进行租赁前评估服务</w:t>
      </w:r>
      <w:r>
        <w:rPr>
          <w:rFonts w:hint="eastAsia" w:ascii="仿宋" w:hAnsi="仿宋" w:eastAsia="仿宋" w:cs="仿宋"/>
          <w:i w:val="0"/>
          <w:iCs w:val="0"/>
          <w:caps w:val="0"/>
          <w:color w:val="333333"/>
          <w:spacing w:val="0"/>
          <w:sz w:val="28"/>
          <w:szCs w:val="28"/>
          <w:shd w:val="clear" w:fill="FFFFFF"/>
          <w:vertAlign w:val="baseline"/>
          <w:lang w:val="en-US" w:eastAsia="zh-CN"/>
        </w:rPr>
        <w:t>，对租赁价值进行评估，了解租赁价值提供参考依据，评估基准日以采购方通知为准。</w:t>
      </w:r>
    </w:p>
    <w:p w14:paraId="10D481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i w:val="0"/>
          <w:iCs w:val="0"/>
          <w:caps w:val="0"/>
          <w:color w:val="333333"/>
          <w:spacing w:val="0"/>
          <w:sz w:val="28"/>
          <w:szCs w:val="28"/>
          <w:shd w:val="clear" w:fill="FFFFFF"/>
          <w:vertAlign w:val="baseline"/>
          <w:lang w:val="en-US"/>
        </w:rPr>
      </w:pPr>
      <w:r>
        <w:rPr>
          <w:rFonts w:hint="eastAsia" w:ascii="仿宋" w:hAnsi="仿宋" w:eastAsia="仿宋" w:cs="仿宋"/>
          <w:i w:val="0"/>
          <w:iCs w:val="0"/>
          <w:caps w:val="0"/>
          <w:color w:val="333333"/>
          <w:spacing w:val="0"/>
          <w:sz w:val="28"/>
          <w:szCs w:val="28"/>
          <w:shd w:val="clear" w:fill="FFFFFF"/>
          <w:vertAlign w:val="baseline"/>
          <w:lang w:val="en-US" w:eastAsia="zh-CN"/>
        </w:rPr>
        <w:t>2.评估对象详细信息：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4980"/>
        <w:gridCol w:w="2310"/>
      </w:tblGrid>
      <w:tr w14:paraId="6452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shd w:val="clear" w:color="auto" w:fill="CFCECE" w:themeFill="background2" w:themeFillShade="E5"/>
            <w:vAlign w:val="center"/>
          </w:tcPr>
          <w:p w14:paraId="1F633E16">
            <w:pPr>
              <w:keepNext w:val="0"/>
              <w:keepLines w:val="0"/>
              <w:widowControl/>
              <w:suppressLineNumbers w:val="0"/>
              <w:jc w:val="center"/>
              <w:textAlignment w:val="center"/>
              <w:rPr>
                <w:rFonts w:hint="eastAsia" w:ascii="仿宋" w:hAnsi="仿宋" w:eastAsia="仿宋" w:cs="仿宋"/>
                <w:b/>
                <w:bCs/>
                <w:i w:val="0"/>
                <w:iCs w:val="0"/>
                <w:caps w:val="0"/>
                <w:color w:val="333333"/>
                <w:spacing w:val="0"/>
                <w:sz w:val="24"/>
                <w:szCs w:val="24"/>
                <w:shd w:val="clear" w:fill="FFFFFF"/>
                <w:vertAlign w:val="baseline"/>
              </w:rPr>
            </w:pPr>
            <w:r>
              <w:rPr>
                <w:rFonts w:hint="eastAsia" w:ascii="仿宋" w:hAnsi="仿宋" w:eastAsia="仿宋" w:cs="仿宋"/>
                <w:b/>
                <w:bCs/>
                <w:i w:val="0"/>
                <w:iCs w:val="0"/>
                <w:color w:val="000000"/>
                <w:kern w:val="0"/>
                <w:sz w:val="24"/>
                <w:szCs w:val="24"/>
                <w:u w:val="none"/>
                <w:lang w:val="en-US" w:eastAsia="zh-CN" w:bidi="ar"/>
              </w:rPr>
              <w:t>序号</w:t>
            </w:r>
          </w:p>
        </w:tc>
        <w:tc>
          <w:tcPr>
            <w:tcW w:w="4980" w:type="dxa"/>
            <w:shd w:val="clear" w:color="auto" w:fill="CFCECE" w:themeFill="background2" w:themeFillShade="E5"/>
            <w:vAlign w:val="center"/>
          </w:tcPr>
          <w:p w14:paraId="3731A4BF">
            <w:pPr>
              <w:keepNext w:val="0"/>
              <w:keepLines w:val="0"/>
              <w:widowControl/>
              <w:suppressLineNumbers w:val="0"/>
              <w:jc w:val="center"/>
              <w:textAlignment w:val="center"/>
              <w:rPr>
                <w:rFonts w:hint="eastAsia" w:ascii="仿宋" w:hAnsi="仿宋" w:eastAsia="仿宋" w:cs="仿宋"/>
                <w:b/>
                <w:bCs/>
                <w:i w:val="0"/>
                <w:iCs w:val="0"/>
                <w:caps w:val="0"/>
                <w:color w:val="333333"/>
                <w:spacing w:val="0"/>
                <w:sz w:val="24"/>
                <w:szCs w:val="24"/>
                <w:shd w:val="clear" w:fill="FFFFFF"/>
                <w:vertAlign w:val="baseline"/>
              </w:rPr>
            </w:pPr>
            <w:r>
              <w:rPr>
                <w:rFonts w:hint="eastAsia" w:ascii="仿宋" w:hAnsi="仿宋" w:eastAsia="仿宋" w:cs="仿宋"/>
                <w:b/>
                <w:bCs/>
                <w:i w:val="0"/>
                <w:iCs w:val="0"/>
                <w:color w:val="000000"/>
                <w:kern w:val="0"/>
                <w:sz w:val="24"/>
                <w:szCs w:val="24"/>
                <w:u w:val="none"/>
                <w:lang w:val="en-US" w:eastAsia="zh-CN" w:bidi="ar"/>
              </w:rPr>
              <w:t>评估对象</w:t>
            </w:r>
          </w:p>
        </w:tc>
        <w:tc>
          <w:tcPr>
            <w:tcW w:w="2310" w:type="dxa"/>
            <w:shd w:val="clear" w:color="auto" w:fill="CFCECE" w:themeFill="background2" w:themeFillShade="E5"/>
            <w:vAlign w:val="center"/>
          </w:tcPr>
          <w:p w14:paraId="7A6A533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评估面积（平方米）</w:t>
            </w:r>
          </w:p>
        </w:tc>
      </w:tr>
      <w:tr w14:paraId="5558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 w:type="dxa"/>
            <w:vAlign w:val="center"/>
          </w:tcPr>
          <w:p w14:paraId="6AE0629B">
            <w:pPr>
              <w:keepNext w:val="0"/>
              <w:keepLines w:val="0"/>
              <w:widowControl/>
              <w:suppressLineNumbers w:val="0"/>
              <w:jc w:val="center"/>
              <w:textAlignment w:val="center"/>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b/>
                <w:bCs/>
                <w:i w:val="0"/>
                <w:iCs w:val="0"/>
                <w:color w:val="000000"/>
                <w:kern w:val="0"/>
                <w:sz w:val="24"/>
                <w:szCs w:val="24"/>
                <w:u w:val="none"/>
                <w:lang w:val="en-US" w:eastAsia="zh-CN" w:bidi="ar"/>
              </w:rPr>
              <w:t>1</w:t>
            </w:r>
          </w:p>
        </w:tc>
        <w:tc>
          <w:tcPr>
            <w:tcW w:w="4980" w:type="dxa"/>
            <w:vAlign w:val="center"/>
          </w:tcPr>
          <w:p w14:paraId="1804AA8E">
            <w:pPr>
              <w:keepNext w:val="0"/>
              <w:keepLines w:val="0"/>
              <w:widowControl/>
              <w:suppressLineNumbers w:val="0"/>
              <w:jc w:val="center"/>
              <w:textAlignment w:val="center"/>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i w:val="0"/>
                <w:iCs w:val="0"/>
                <w:color w:val="000000"/>
                <w:kern w:val="0"/>
                <w:sz w:val="24"/>
                <w:szCs w:val="24"/>
                <w:u w:val="none"/>
                <w:lang w:val="en-US" w:eastAsia="zh-CN" w:bidi="ar"/>
              </w:rPr>
              <w:t>佛山市禅城区卫国路佛山市第二人民医院卫国路院区3号楼西侧休闲区</w:t>
            </w:r>
          </w:p>
        </w:tc>
        <w:tc>
          <w:tcPr>
            <w:tcW w:w="2310" w:type="dxa"/>
            <w:vAlign w:val="center"/>
          </w:tcPr>
          <w:p w14:paraId="4EAEFE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40.00 </w:t>
            </w:r>
          </w:p>
        </w:tc>
      </w:tr>
    </w:tbl>
    <w:p w14:paraId="608494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val="0"/>
          <w:caps w:val="0"/>
          <w:color w:val="333333"/>
          <w:spacing w:val="0"/>
          <w:sz w:val="24"/>
          <w:szCs w:val="24"/>
          <w:shd w:val="clear" w:fill="FFFFFF"/>
          <w:vertAlign w:val="baseline"/>
        </w:rPr>
      </w:pPr>
    </w:p>
    <w:p w14:paraId="62C0663A">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val="0"/>
          <w:sz w:val="28"/>
          <w:szCs w:val="28"/>
          <w:lang w:val="en-US" w:eastAsia="zh-CN"/>
        </w:rPr>
      </w:pPr>
      <w:r>
        <w:rPr>
          <w:rFonts w:hint="eastAsia" w:ascii="仿宋" w:hAnsi="仿宋" w:eastAsia="仿宋" w:cs="仿宋"/>
          <w:b/>
          <w:bCs w:val="0"/>
          <w:sz w:val="28"/>
          <w:szCs w:val="28"/>
        </w:rPr>
        <w:t>（</w:t>
      </w:r>
      <w:r>
        <w:rPr>
          <w:rFonts w:hint="eastAsia" w:ascii="仿宋" w:hAnsi="仿宋" w:eastAsia="仿宋" w:cs="仿宋"/>
          <w:b/>
          <w:bCs w:val="0"/>
          <w:sz w:val="28"/>
          <w:szCs w:val="28"/>
          <w:lang w:val="en-US" w:eastAsia="zh-CN"/>
        </w:rPr>
        <w:t>二</w:t>
      </w:r>
      <w:r>
        <w:rPr>
          <w:rFonts w:hint="eastAsia" w:ascii="仿宋" w:hAnsi="仿宋" w:eastAsia="仿宋" w:cs="仿宋"/>
          <w:b/>
          <w:bCs w:val="0"/>
          <w:sz w:val="28"/>
          <w:szCs w:val="28"/>
        </w:rPr>
        <w:t>）</w:t>
      </w:r>
      <w:r>
        <w:rPr>
          <w:rFonts w:hint="eastAsia" w:ascii="仿宋" w:hAnsi="仿宋" w:eastAsia="仿宋" w:cs="仿宋"/>
          <w:b/>
          <w:bCs w:val="0"/>
          <w:sz w:val="28"/>
          <w:szCs w:val="28"/>
          <w:lang w:val="en-US" w:eastAsia="zh-CN"/>
        </w:rPr>
        <w:t>服务要求</w:t>
      </w:r>
    </w:p>
    <w:p w14:paraId="6066141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1.中标供应商通过执行资产评估工作，出具资产评估报告。</w:t>
      </w:r>
    </w:p>
    <w:p w14:paraId="736FC5E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仿宋" w:hAnsi="仿宋" w:eastAsia="宋体"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★2.中标供应商出具的评估报告，价值评估对比案例的依据须借鉴同类型医院商铺的相关数据</w:t>
      </w:r>
      <w:r>
        <w:rPr>
          <w:rFonts w:hint="eastAsia"/>
          <w:b/>
          <w:bCs w:val="0"/>
          <w:lang w:eastAsia="zh-CN"/>
        </w:rPr>
        <w:t>。</w:t>
      </w:r>
    </w:p>
    <w:p w14:paraId="1B31576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3.服务时间：合同签订后7个工作日内完成资产评估服务，向采购人提交《资产评估报告（征求意见稿）》，在收到采购人出具正式评估报告通知后3个工作日内出具正式《资产评估报告》。</w:t>
      </w:r>
    </w:p>
    <w:p w14:paraId="367C1D6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4.服务地点：佛山市禅城区卫国路78号佛山市第二人民医院卫国路院区。</w:t>
      </w:r>
    </w:p>
    <w:p w14:paraId="38A6C814">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val="0"/>
          <w:sz w:val="28"/>
          <w:szCs w:val="28"/>
          <w:lang w:val="en-US" w:eastAsia="zh-CN"/>
        </w:rPr>
      </w:pPr>
      <w:r>
        <w:rPr>
          <w:rFonts w:hint="eastAsia" w:ascii="仿宋" w:hAnsi="仿宋" w:eastAsia="仿宋" w:cs="仿宋"/>
          <w:b/>
          <w:bCs w:val="0"/>
          <w:sz w:val="28"/>
          <w:szCs w:val="28"/>
        </w:rPr>
        <w:t>（</w:t>
      </w:r>
      <w:r>
        <w:rPr>
          <w:rFonts w:hint="eastAsia" w:ascii="仿宋" w:hAnsi="仿宋" w:eastAsia="仿宋" w:cs="仿宋"/>
          <w:b/>
          <w:bCs w:val="0"/>
          <w:sz w:val="28"/>
          <w:szCs w:val="28"/>
          <w:lang w:val="en-US" w:eastAsia="zh-CN"/>
        </w:rPr>
        <w:t>三</w:t>
      </w:r>
      <w:r>
        <w:rPr>
          <w:rFonts w:hint="eastAsia" w:ascii="仿宋" w:hAnsi="仿宋" w:eastAsia="仿宋" w:cs="仿宋"/>
          <w:b/>
          <w:bCs w:val="0"/>
          <w:sz w:val="28"/>
          <w:szCs w:val="28"/>
        </w:rPr>
        <w:t>）</w:t>
      </w:r>
      <w:r>
        <w:rPr>
          <w:rFonts w:hint="eastAsia" w:ascii="仿宋" w:hAnsi="仿宋" w:eastAsia="仿宋" w:cs="仿宋"/>
          <w:b/>
          <w:bCs w:val="0"/>
          <w:sz w:val="28"/>
          <w:szCs w:val="28"/>
          <w:lang w:val="en-US" w:eastAsia="zh-CN"/>
        </w:rPr>
        <w:t>评估准则要求</w:t>
      </w:r>
    </w:p>
    <w:p w14:paraId="338FC7A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供应商参照《资产评估准则一基本准则》（财资［2017]43号）、《资产评估执业准则-﹣利用专家工作及相关报告》（中评协［2017]35号）、《资产评估执业准则﹣﹣资产评估报告》（中评协［2018]35号）;《资产评估执业准则﹣﹣资产评估程序》（中评协（2018)36号）、《资产评估执业准则﹣﹣企业价值》（中评协（2018)38号）规定出具资产评估报告。</w:t>
      </w:r>
    </w:p>
    <w:p w14:paraId="5E4CB9E8">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1"/>
        <w:rPr>
          <w:rFonts w:hint="eastAsia" w:ascii="仿宋" w:hAnsi="仿宋" w:eastAsia="仿宋" w:cs="仿宋"/>
          <w:b/>
          <w:sz w:val="28"/>
          <w:szCs w:val="28"/>
          <w:shd w:val="clear" w:color="auto" w:fill="FFFFFF"/>
        </w:rPr>
      </w:pPr>
      <w:r>
        <w:rPr>
          <w:rFonts w:hint="eastAsia" w:ascii="仿宋" w:hAnsi="仿宋" w:eastAsia="仿宋" w:cs="仿宋"/>
          <w:b/>
          <w:sz w:val="28"/>
          <w:szCs w:val="28"/>
          <w:shd w:val="clear" w:color="auto" w:fill="FFFFFF"/>
          <w:lang w:val="en-US" w:eastAsia="zh-CN"/>
        </w:rPr>
        <w:t>三</w:t>
      </w:r>
      <w:r>
        <w:rPr>
          <w:rFonts w:hint="eastAsia" w:ascii="仿宋" w:hAnsi="仿宋" w:eastAsia="仿宋" w:cs="仿宋"/>
          <w:b/>
          <w:sz w:val="28"/>
          <w:szCs w:val="28"/>
          <w:shd w:val="clear" w:color="auto" w:fill="FFFFFF"/>
        </w:rPr>
        <w:t>、项目</w:t>
      </w:r>
      <w:r>
        <w:rPr>
          <w:rFonts w:hint="eastAsia" w:ascii="仿宋" w:hAnsi="仿宋" w:eastAsia="仿宋" w:cs="仿宋"/>
          <w:b/>
          <w:sz w:val="28"/>
          <w:szCs w:val="28"/>
          <w:shd w:val="clear" w:color="auto" w:fill="FFFFFF"/>
          <w:lang w:val="en-US" w:eastAsia="zh-CN"/>
        </w:rPr>
        <w:t>商务</w:t>
      </w:r>
      <w:r>
        <w:rPr>
          <w:rFonts w:hint="eastAsia" w:ascii="仿宋" w:hAnsi="仿宋" w:eastAsia="仿宋" w:cs="仿宋"/>
          <w:b/>
          <w:sz w:val="28"/>
          <w:szCs w:val="28"/>
          <w:shd w:val="clear" w:color="auto" w:fill="FFFFFF"/>
        </w:rPr>
        <w:t>要求</w:t>
      </w:r>
    </w:p>
    <w:p w14:paraId="3B03E92F">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val="0"/>
          <w:sz w:val="28"/>
          <w:szCs w:val="28"/>
          <w:lang w:val="en-US" w:eastAsia="zh-CN"/>
        </w:rPr>
      </w:pPr>
      <w:r>
        <w:rPr>
          <w:rFonts w:hint="eastAsia" w:ascii="仿宋" w:hAnsi="仿宋" w:eastAsia="仿宋" w:cs="仿宋"/>
          <w:b/>
          <w:bCs w:val="0"/>
          <w:sz w:val="28"/>
          <w:szCs w:val="28"/>
        </w:rPr>
        <w:t>（一）</w:t>
      </w:r>
      <w:r>
        <w:rPr>
          <w:rFonts w:hint="eastAsia" w:ascii="仿宋" w:hAnsi="仿宋" w:eastAsia="仿宋" w:cs="仿宋"/>
          <w:b/>
          <w:bCs w:val="0"/>
          <w:sz w:val="28"/>
          <w:szCs w:val="28"/>
          <w:lang w:val="en-US" w:eastAsia="zh-CN"/>
        </w:rPr>
        <w:t>报价要求</w:t>
      </w:r>
    </w:p>
    <w:p w14:paraId="70A4448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报价包括技术服务费、技术人员的工勤费用（包括工资、福利、交通、住宿、通讯费用等）、培训辅导、全额含税发票、雇员费用、项目实施过程中的应预见或不可预见费用等。</w:t>
      </w:r>
    </w:p>
    <w:p w14:paraId="11E93B5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p>
    <w:p w14:paraId="285CB9A2">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val="0"/>
          <w:sz w:val="28"/>
          <w:szCs w:val="28"/>
          <w:lang w:val="en-US" w:eastAsia="zh-CN"/>
        </w:rPr>
      </w:pPr>
      <w:r>
        <w:rPr>
          <w:rFonts w:hint="eastAsia" w:ascii="仿宋" w:hAnsi="仿宋" w:eastAsia="仿宋" w:cs="仿宋"/>
          <w:b/>
          <w:bCs w:val="0"/>
          <w:sz w:val="28"/>
          <w:szCs w:val="28"/>
        </w:rPr>
        <w:t>（</w:t>
      </w:r>
      <w:r>
        <w:rPr>
          <w:rFonts w:hint="eastAsia" w:ascii="仿宋" w:hAnsi="仿宋" w:eastAsia="仿宋" w:cs="仿宋"/>
          <w:b/>
          <w:bCs w:val="0"/>
          <w:sz w:val="28"/>
          <w:szCs w:val="28"/>
          <w:lang w:val="en-US" w:eastAsia="zh-CN"/>
        </w:rPr>
        <w:t>二</w:t>
      </w:r>
      <w:r>
        <w:rPr>
          <w:rFonts w:hint="eastAsia" w:ascii="仿宋" w:hAnsi="仿宋" w:eastAsia="仿宋" w:cs="仿宋"/>
          <w:b/>
          <w:bCs w:val="0"/>
          <w:sz w:val="28"/>
          <w:szCs w:val="28"/>
        </w:rPr>
        <w:t>）</w:t>
      </w:r>
      <w:r>
        <w:rPr>
          <w:rFonts w:hint="eastAsia" w:ascii="仿宋" w:hAnsi="仿宋" w:eastAsia="仿宋" w:cs="仿宋"/>
          <w:b/>
          <w:bCs w:val="0"/>
          <w:sz w:val="28"/>
          <w:szCs w:val="28"/>
          <w:lang w:val="en-US" w:eastAsia="zh-CN"/>
        </w:rPr>
        <w:t>付款方式</w:t>
      </w:r>
    </w:p>
    <w:p w14:paraId="203686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供应商完成合同约定的服务内容并向采购人提供相关纸质报告书及电子版，</w:t>
      </w:r>
      <w:r>
        <w:rPr>
          <w:rFonts w:hint="eastAsia" w:ascii="仿宋" w:hAnsi="仿宋" w:eastAsia="仿宋" w:cs="仿宋"/>
          <w:b/>
          <w:bCs w:val="0"/>
          <w:sz w:val="28"/>
          <w:szCs w:val="28"/>
          <w:highlight w:val="yellow"/>
          <w:lang w:val="en-US" w:eastAsia="zh-CN"/>
        </w:rPr>
        <w:t>采购人总体验收合格且通过佛山市财政局确认后</w:t>
      </w:r>
      <w:r>
        <w:rPr>
          <w:rFonts w:hint="eastAsia" w:ascii="仿宋" w:hAnsi="仿宋" w:eastAsia="仿宋" w:cs="仿宋"/>
          <w:b/>
          <w:bCs w:val="0"/>
          <w:sz w:val="28"/>
          <w:szCs w:val="28"/>
          <w:lang w:val="en-US" w:eastAsia="zh-CN"/>
        </w:rPr>
        <w:t>，</w:t>
      </w:r>
      <w:r>
        <w:rPr>
          <w:rFonts w:hint="eastAsia" w:ascii="仿宋" w:hAnsi="仿宋" w:eastAsia="仿宋" w:cs="仿宋"/>
          <w:b w:val="0"/>
          <w:bCs/>
          <w:sz w:val="28"/>
          <w:szCs w:val="28"/>
          <w:lang w:val="en-US" w:eastAsia="zh-CN"/>
        </w:rPr>
        <w:t>供应商开具合法全额发票采购人在收到发票之日起30个工作日内支付合同金额的100%。</w:t>
      </w:r>
    </w:p>
    <w:p w14:paraId="3D563F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val="0"/>
          <w:bCs/>
          <w:sz w:val="24"/>
          <w:szCs w:val="2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1C5C60"/>
    <w:multiLevelType w:val="singleLevel"/>
    <w:tmpl w:val="4F1C5C6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887706"/>
    <w:rsid w:val="00377076"/>
    <w:rsid w:val="0348159A"/>
    <w:rsid w:val="073065CD"/>
    <w:rsid w:val="088F5575"/>
    <w:rsid w:val="0B8D2164"/>
    <w:rsid w:val="13C16461"/>
    <w:rsid w:val="14B44CE1"/>
    <w:rsid w:val="18E92A80"/>
    <w:rsid w:val="196565AA"/>
    <w:rsid w:val="1AEB0D31"/>
    <w:rsid w:val="210F504D"/>
    <w:rsid w:val="213F74BB"/>
    <w:rsid w:val="217B548C"/>
    <w:rsid w:val="2280028D"/>
    <w:rsid w:val="25887706"/>
    <w:rsid w:val="268F2EB8"/>
    <w:rsid w:val="27084A19"/>
    <w:rsid w:val="2A3E70CF"/>
    <w:rsid w:val="2CB60A35"/>
    <w:rsid w:val="2D482013"/>
    <w:rsid w:val="2F546A4D"/>
    <w:rsid w:val="30B11C7D"/>
    <w:rsid w:val="32DA54BB"/>
    <w:rsid w:val="32ED1692"/>
    <w:rsid w:val="395B4E7C"/>
    <w:rsid w:val="3B451940"/>
    <w:rsid w:val="3E0C382B"/>
    <w:rsid w:val="40C357E1"/>
    <w:rsid w:val="44D85580"/>
    <w:rsid w:val="45D65FB6"/>
    <w:rsid w:val="479D48BA"/>
    <w:rsid w:val="49AD34D2"/>
    <w:rsid w:val="4A1946C3"/>
    <w:rsid w:val="4BDE7972"/>
    <w:rsid w:val="4C5C4D3B"/>
    <w:rsid w:val="53CA497F"/>
    <w:rsid w:val="6037369D"/>
    <w:rsid w:val="619D5782"/>
    <w:rsid w:val="65387D0A"/>
    <w:rsid w:val="68F25B3B"/>
    <w:rsid w:val="69CA10DE"/>
    <w:rsid w:val="6E056B89"/>
    <w:rsid w:val="6E7837FF"/>
    <w:rsid w:val="6EEE586F"/>
    <w:rsid w:val="71997D14"/>
    <w:rsid w:val="781C36BA"/>
    <w:rsid w:val="781D027F"/>
    <w:rsid w:val="79F0693F"/>
    <w:rsid w:val="7AB160CE"/>
    <w:rsid w:val="7E447259"/>
    <w:rsid w:val="7E4C1A83"/>
    <w:rsid w:val="7FA63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987</Words>
  <Characters>1039</Characters>
  <Lines>0</Lines>
  <Paragraphs>0</Paragraphs>
  <TotalTime>24</TotalTime>
  <ScaleCrop>false</ScaleCrop>
  <LinksUpToDate>false</LinksUpToDate>
  <CharactersWithSpaces>1040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2024-04-02T06:39:00Z</dcterms:created>
  <dc:creator>keyuda</dc:creator>
  <cp:lastModifiedBy>柯羽达</cp:lastModifiedBy>
  <dcterms:modified xsi:type="dcterms:W3CDTF">2025-06-04T01:41:56Z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E8772748D12849B588C5EFEC9278C41B_13</vt:lpwstr>
  </property>
  <property fmtid="{D5CDD505-2E9C-101B-9397-08002B2CF9AE}" pid="4" name="KSOTemplateDocerSaveRecord">
    <vt:lpwstr>eyJoZGlkIjoiOWE5ZWZjZDliY2NlMDUxOGJkNGEwNThhYjVjZjY2YjUiLCJ1c2VySWQiOiIxMzk1NjUxMDg2In0=</vt:lpwstr>
  </property>
</Properties>
</file>