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（一</w:t>
      </w: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项目名称：健康大讲堂科普宣传服务采购项目</w:t>
      </w:r>
    </w:p>
    <w:p>
      <w:pP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一、资质要求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1、供应商必须符合《中华人民共和国政府采购法》第二十二条规定的条件；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2、供应商具有独立承担民事责任能力的，在中华人民共和国境内注册的法人，且具备从事本项目经营范围和能力；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3、供应商具有依法缴纳税收和社会保障资金的良好记录；</w:t>
      </w:r>
    </w:p>
    <w:p>
      <w:pPr>
        <w:rPr>
          <w:rFonts w:hint="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供应商（含其授权的下属单位、分支机构）近三年内在经营活动中没有重大违法行为：即在经营活动中履约情况良好，没有因违法经营受到刑事处罚或者责令停产、停业、吊销许可证或者执照、较大数额罚款等行政处罚，否则，投标将被否决（供应商须提供承诺函，并加盖投标人公章）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rPr>
          <w:rFonts w:hint="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供应商负责人（或法定代表人）为同一人或者存在控股、管理关系的不同投标人，不得同时参加项目同一标段投标。若出现以上情况，以先报名登记者为有效投标单位（供应商须提供承诺函及关联关系说明，并加盖投标人公章）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6、本项目不接受联合体参与。</w:t>
      </w:r>
    </w:p>
    <w:p>
      <w:pP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二、主要技术要求</w:t>
      </w:r>
    </w:p>
    <w:p>
      <w:pP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服务内容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1.1健康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大讲堂及直播（100场）</w:t>
      </w:r>
    </w:p>
    <w:p>
      <w:pP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1.1.1到社区、村居、企业及学校等地开展健康大讲堂，推进科普“五进”活动，将“新”市二、“星”体验的服务品牌推向全市。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每场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线上健康大讲堂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活动需包含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至少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45分钟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健康知识宣讲，同步进行线上直播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；宣讲讲师由医院指派，其余工作由供应商承担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。直播要求：高清画质、流畅无卡顿、支持实时互动（如弹幕、问答）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提供直播数据统计（包括观看人数、互动量、回放链接等）。</w:t>
      </w:r>
    </w:p>
    <w:p>
      <w:pP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1.2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文艺节目创作与演出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1.2.1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创作至少5个原创文艺节目（形式包括快板、相声、小品、说唱、舞蹈等），内容需围绕医院文化、健康科普、便民服务等主题。每场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线下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科普活动中穿插1-2个文艺节目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表演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，总演出场次不少于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0场。节目需提交剧本/编舞方案供医院审核，确保无敏感或不当内容。</w:t>
      </w:r>
    </w:p>
    <w:p>
      <w:pP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时间要求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2.1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项目周期：合同签订后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1年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内完成全部服务。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2.2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每场活动时间、地点需提前10个工作日与医院确认。</w:t>
      </w:r>
    </w:p>
    <w:p>
      <w:pP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交付成果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3.1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提供100场活动的完整执行记录（含签到表、现场照片、直播回放）。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3.2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文艺节目视频及剧本归档，版权归医院所有。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3.3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提交项目总结报告（含活动效果评估、群众反馈分析）。</w:t>
      </w:r>
    </w:p>
    <w:p>
      <w:pP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三、主要商务要求</w:t>
      </w:r>
    </w:p>
    <w:p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1、报价方式：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总预算不超过18万元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报价需分项列明：</w:t>
      </w:r>
    </w:p>
    <w:p>
      <w:pPr>
        <w:rPr>
          <w:rFonts w:hint="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2、付款方式：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合同签订后支付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0%预付款，项目全部验收后支付尾款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0%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hd w:val="clear" w:fill="FFFFFF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四、</w:t>
      </w:r>
      <w:r>
        <w:rPr>
          <w:rFonts w:hint="default"/>
          <w:b/>
          <w:bCs/>
          <w:sz w:val="28"/>
          <w:szCs w:val="28"/>
        </w:rPr>
        <w:t>综合评分</w:t>
      </w:r>
      <w:r>
        <w:rPr>
          <w:rFonts w:hint="eastAsia"/>
          <w:b/>
          <w:bCs/>
          <w:sz w:val="28"/>
          <w:szCs w:val="28"/>
          <w:lang w:eastAsia="zh-CN"/>
        </w:rPr>
        <w:t>标准</w:t>
      </w:r>
    </w:p>
    <w:p>
      <w:pPr>
        <w:pStyle w:val="9"/>
        <w:spacing w:line="360" w:lineRule="auto"/>
        <w:ind w:firstLine="148" w:firstLineChars="49"/>
        <w:rPr>
          <w:rFonts w:hint="eastAsia" w:ascii="宋体" w:hAnsi="宋体" w:eastAsia="宋体"/>
          <w:b/>
          <w:sz w:val="28"/>
          <w:szCs w:val="28"/>
          <w:shd w:val="clear" w:color="auto" w:fill="FFFFFF"/>
        </w:rPr>
      </w:pPr>
      <w:bookmarkStart w:id="0" w:name="_Hlk126308444"/>
      <w:r>
        <w:rPr>
          <w:rFonts w:hint="eastAsia" w:ascii="宋体" w:hAnsi="宋体" w:eastAsia="宋体"/>
          <w:b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/>
          <w:b/>
          <w:sz w:val="28"/>
          <w:szCs w:val="28"/>
          <w:shd w:val="clear" w:color="auto" w:fill="FFFFFF"/>
        </w:rPr>
        <w:t>评分比重如下：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2294"/>
        <w:gridCol w:w="180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137" w:type="dxa"/>
            <w:shd w:val="clear" w:color="auto" w:fill="F2F2F2"/>
            <w:noWrap w:val="0"/>
            <w:vAlign w:val="center"/>
          </w:tcPr>
          <w:p>
            <w:pPr>
              <w:pStyle w:val="9"/>
              <w:tabs>
                <w:tab w:val="center" w:pos="4153"/>
                <w:tab w:val="right" w:pos="8306"/>
              </w:tabs>
              <w:jc w:val="center"/>
              <w:rPr>
                <w:rFonts w:ascii="宋体" w:hAnsi="宋体" w:eastAsia="宋体"/>
                <w:b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pacing w:val="0"/>
                <w:sz w:val="28"/>
                <w:szCs w:val="28"/>
              </w:rPr>
              <w:t>评分内容</w:t>
            </w:r>
          </w:p>
        </w:tc>
        <w:tc>
          <w:tcPr>
            <w:tcW w:w="2294" w:type="dxa"/>
            <w:shd w:val="clear" w:color="auto" w:fill="F2F2F2"/>
            <w:noWrap w:val="0"/>
            <w:vAlign w:val="center"/>
          </w:tcPr>
          <w:p>
            <w:pPr>
              <w:pStyle w:val="9"/>
              <w:tabs>
                <w:tab w:val="center" w:pos="4153"/>
                <w:tab w:val="right" w:pos="8306"/>
              </w:tabs>
              <w:jc w:val="center"/>
              <w:rPr>
                <w:rFonts w:ascii="宋体" w:hAnsi="宋体" w:eastAsia="宋体"/>
                <w:b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pacing w:val="0"/>
                <w:sz w:val="28"/>
                <w:szCs w:val="28"/>
              </w:rPr>
              <w:t>技术部分</w:t>
            </w:r>
          </w:p>
        </w:tc>
        <w:tc>
          <w:tcPr>
            <w:tcW w:w="1800" w:type="dxa"/>
            <w:shd w:val="clear" w:color="auto" w:fill="F2F2F2"/>
            <w:noWrap w:val="0"/>
            <w:vAlign w:val="center"/>
          </w:tcPr>
          <w:p>
            <w:pPr>
              <w:pStyle w:val="9"/>
              <w:tabs>
                <w:tab w:val="center" w:pos="4153"/>
                <w:tab w:val="right" w:pos="8306"/>
              </w:tabs>
              <w:jc w:val="center"/>
              <w:rPr>
                <w:rFonts w:ascii="宋体" w:hAnsi="宋体" w:eastAsia="宋体"/>
                <w:b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pacing w:val="0"/>
                <w:sz w:val="28"/>
                <w:szCs w:val="28"/>
              </w:rPr>
              <w:t>商务部分</w:t>
            </w:r>
          </w:p>
        </w:tc>
        <w:tc>
          <w:tcPr>
            <w:tcW w:w="1913" w:type="dxa"/>
            <w:shd w:val="clear" w:color="auto" w:fill="F2F2F2"/>
            <w:noWrap w:val="0"/>
            <w:vAlign w:val="center"/>
          </w:tcPr>
          <w:p>
            <w:pPr>
              <w:pStyle w:val="9"/>
              <w:tabs>
                <w:tab w:val="center" w:pos="4153"/>
                <w:tab w:val="right" w:pos="8306"/>
              </w:tabs>
              <w:jc w:val="center"/>
              <w:rPr>
                <w:rFonts w:ascii="宋体" w:hAnsi="宋体" w:eastAsia="宋体"/>
                <w:b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pacing w:val="0"/>
                <w:sz w:val="28"/>
                <w:szCs w:val="28"/>
              </w:rPr>
              <w:t>价格部分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37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权重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%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%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%</w:t>
            </w:r>
          </w:p>
        </w:tc>
      </w:tr>
    </w:tbl>
    <w:p>
      <w:pPr>
        <w:pStyle w:val="9"/>
        <w:spacing w:line="360" w:lineRule="auto"/>
        <w:ind w:firstLine="148" w:firstLineChars="49"/>
        <w:rPr>
          <w:rFonts w:hint="eastAsia" w:ascii="宋体" w:hAnsi="宋体" w:eastAsia="宋体"/>
          <w:b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b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宋体" w:hAnsi="宋体" w:eastAsia="宋体"/>
          <w:b/>
          <w:sz w:val="28"/>
          <w:szCs w:val="28"/>
          <w:shd w:val="clear" w:color="auto" w:fill="FFFFFF"/>
          <w:lang w:val="en-GB"/>
        </w:rPr>
        <w:t>量化评审内容如下：</w:t>
      </w:r>
    </w:p>
    <w:p>
      <w:pPr>
        <w:pStyle w:val="9"/>
        <w:spacing w:line="360" w:lineRule="auto"/>
        <w:ind w:firstLine="148" w:firstLineChars="49"/>
        <w:rPr>
          <w:rFonts w:hint="eastAsia" w:ascii="宋体" w:hAnsi="宋体" w:eastAsia="宋体"/>
          <w:b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b/>
          <w:sz w:val="28"/>
          <w:szCs w:val="28"/>
          <w:shd w:val="clear" w:color="auto" w:fill="FFFFFF"/>
          <w:lang w:val="en-US" w:eastAsia="zh-CN"/>
        </w:rPr>
        <w:t>2.1</w:t>
      </w:r>
      <w:r>
        <w:rPr>
          <w:rFonts w:hint="eastAsia" w:ascii="宋体" w:hAnsi="宋体" w:eastAsia="宋体"/>
          <w:b/>
          <w:sz w:val="28"/>
          <w:szCs w:val="28"/>
          <w:shd w:val="clear" w:color="auto" w:fill="FFFFFF"/>
        </w:rPr>
        <w:t>技术部分（权重</w:t>
      </w:r>
      <w:r>
        <w:rPr>
          <w:rFonts w:hint="eastAsia" w:ascii="宋体" w:hAnsi="宋体" w:eastAsia="宋体"/>
          <w:b/>
          <w:sz w:val="28"/>
          <w:szCs w:val="28"/>
          <w:shd w:val="clear" w:color="auto" w:fill="FFFFFF"/>
          <w:lang w:val="en-US" w:eastAsia="zh-CN"/>
        </w:rPr>
        <w:t>40</w:t>
      </w:r>
      <w:r>
        <w:rPr>
          <w:rFonts w:hint="eastAsia" w:ascii="宋体" w:hAnsi="宋体" w:eastAsia="宋体"/>
          <w:b/>
          <w:sz w:val="28"/>
          <w:szCs w:val="28"/>
          <w:shd w:val="clear" w:color="auto" w:fill="FFFFFF"/>
        </w:rPr>
        <w:t>％）</w:t>
      </w:r>
    </w:p>
    <w:tbl>
      <w:tblPr>
        <w:tblStyle w:val="6"/>
        <w:tblW w:w="487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543"/>
        <w:gridCol w:w="1779"/>
        <w:gridCol w:w="5151"/>
        <w:gridCol w:w="8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27" w:type="pct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070" w:type="pct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评审项目</w:t>
            </w:r>
          </w:p>
        </w:tc>
        <w:tc>
          <w:tcPr>
            <w:tcW w:w="3099" w:type="pct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评分标准</w:t>
            </w:r>
          </w:p>
        </w:tc>
        <w:tc>
          <w:tcPr>
            <w:tcW w:w="503" w:type="pct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14735" w:hRule="atLeast"/>
          <w:jc w:val="center"/>
        </w:trPr>
        <w:tc>
          <w:tcPr>
            <w:tcW w:w="327" w:type="pc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070" w:type="pc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总体方案评价</w:t>
            </w:r>
          </w:p>
        </w:tc>
        <w:tc>
          <w:tcPr>
            <w:tcW w:w="30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供应商提供健康大讲堂科普宣传活动方案，活动方案必须包括与社区、企业、学校等的对接方案，科普宣传活动筹备方案，活动推进时间安排表，从上述内容的科学合理程度及内容创新新性等维度进行评价。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与社区、企业、学校等对接方案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资源和经验丰富，能有效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与社区、企业、学校等对接，能很好地满足100场活动的需求，得10分；</w:t>
            </w:r>
          </w:p>
          <w:p>
            <w:pPr>
              <w:pStyle w:val="2"/>
              <w:numPr>
                <w:ilvl w:val="0"/>
                <w:numId w:val="2"/>
              </w:num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有一定资源和经验，能与社区、企业、学校等对接，基本能满足100场活动的需求，得6分；</w:t>
            </w:r>
          </w:p>
          <w:p>
            <w:pPr>
              <w:pStyle w:val="2"/>
              <w:numPr>
                <w:ilvl w:val="0"/>
                <w:numId w:val="2"/>
              </w:num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资源和经验一般，勉强能与社区、企业、学校等对接，能满足部分活动的需求，得2分；</w:t>
            </w:r>
          </w:p>
          <w:p>
            <w:pPr>
              <w:pStyle w:val="2"/>
              <w:numPr>
                <w:ilvl w:val="0"/>
                <w:numId w:val="2"/>
              </w:num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没有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资源和经验，不能与社区、企业、学校等对接；或者不提供，不得分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科普宣传活动筹备方案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活动筹备工作安排科学合理，线下宣讲、文艺表演及线上直播活动均能顺利推进，得10分；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活动筹备工作安排相对科学合理，线下宣讲、文艺表演及线上直播活动均能推进，得6分；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活动筹备工作安排不太科学合理，线下宣讲、文艺表演及线上直播活动均勉强推进，得2分；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活动筹备工作安排不科学合理，线下宣讲、文艺表演及线上直播活动不能顺利推进；或者不提供，不得分。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（三）活动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推进时间安排表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1）活动推进时间安排合理，能确保100场活动在一年内完成，得10分；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2）活动推进时间安排较为合理，一年内完成基本能确保100场活动或者能较好的完成80%，得6分；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3）活动推进时间安排合理性一般，勉强能完成部分活动，得2分；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4）活动推进时间安排不合理，完成率低于50%，得1分；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5）不提供不得分。</w:t>
            </w:r>
          </w:p>
          <w:p>
            <w:pPr>
              <w:pStyle w:val="3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（四）内容创新性</w:t>
            </w:r>
          </w:p>
          <w:p>
            <w:pPr>
              <w:pStyle w:val="3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1）形式新颖（如互动问答、情景模拟等），能满足受众需求，得10分；</w:t>
            </w:r>
          </w:p>
          <w:p>
            <w:pPr>
              <w:pStyle w:val="3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2）形式较为新颖，基本满足受众需求，得6分；</w:t>
            </w:r>
          </w:p>
          <w:p>
            <w:pPr>
              <w:pStyle w:val="3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3）形式新颖性较低，得2分；</w:t>
            </w:r>
          </w:p>
          <w:p>
            <w:pPr>
              <w:pStyle w:val="3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4）方案无法反映本部分内容不得分。</w:t>
            </w:r>
          </w:p>
          <w:p>
            <w:pPr>
              <w:pStyle w:val="3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3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3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40</w:t>
            </w:r>
          </w:p>
        </w:tc>
      </w:tr>
    </w:tbl>
    <w:p>
      <w:pPr>
        <w:pStyle w:val="9"/>
        <w:spacing w:before="120" w:after="120" w:line="360" w:lineRule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shd w:val="clear" w:color="auto" w:fill="FFFFFF"/>
        </w:rPr>
        <w:t>2.2商务部分（权重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shd w:val="clear" w:color="auto" w:fill="FFFFFF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shd w:val="clear" w:color="auto" w:fill="FFFFFF"/>
        </w:rPr>
        <w:t>％）</w:t>
      </w:r>
    </w:p>
    <w:tbl>
      <w:tblPr>
        <w:tblStyle w:val="6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612"/>
        <w:gridCol w:w="1884"/>
        <w:gridCol w:w="5089"/>
        <w:gridCol w:w="9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59" w:type="pct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105" w:type="pct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评审项目</w:t>
            </w:r>
          </w:p>
        </w:tc>
        <w:tc>
          <w:tcPr>
            <w:tcW w:w="2985" w:type="pct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评分标准</w:t>
            </w:r>
          </w:p>
        </w:tc>
        <w:tc>
          <w:tcPr>
            <w:tcW w:w="549" w:type="pct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9" w:type="pct"/>
            <w:tcBorders>
              <w:top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105" w:type="pct"/>
            <w:tcBorders>
              <w:top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0"/>
                <w:kern w:val="0"/>
                <w:sz w:val="24"/>
                <w:szCs w:val="24"/>
              </w:rPr>
              <w:t>同类项目业绩情况</w:t>
            </w:r>
          </w:p>
        </w:tc>
        <w:tc>
          <w:tcPr>
            <w:tcW w:w="2985" w:type="pct"/>
            <w:tcBorders>
              <w:top w:val="single" w:color="auto" w:sz="6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  <w:t>根据供应商自20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  <w:t>年6月至今完成的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eastAsia="zh-CN"/>
              </w:rPr>
              <w:t>线下健康科普活动业绩进行评分，每个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2分，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  <w:t>最高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  <w:t>分。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  <w:t>注：需提供合同扫描件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  <w:t>或验收证明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  <w:t>，不提供不得分。</w:t>
            </w:r>
          </w:p>
          <w:p>
            <w:pPr>
              <w:widowControl/>
              <w:numPr>
                <w:ilvl w:val="0"/>
                <w:numId w:val="4"/>
              </w:numP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  <w:t>根据供应商自20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  <w:t>年6月至今完成的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eastAsia="zh-CN"/>
              </w:rPr>
              <w:t>线上健康科普直播活动业绩进行评分，每个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2分，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  <w:t>最高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  <w:t>分。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  <w:t>注：需提供合同扫描件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  <w:t>或验收证明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  <w:t>，不提供不得分。</w:t>
            </w:r>
          </w:p>
          <w:p>
            <w:pPr>
              <w:widowControl/>
              <w:numPr>
                <w:ilvl w:val="0"/>
                <w:numId w:val="4"/>
              </w:num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  <w:t>根据供应商自20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  <w:t>年6月至今完成的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eastAsia="zh-CN"/>
              </w:rPr>
              <w:t>文艺活动活动业绩进行评分，每个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2分，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  <w:t>最高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  <w:t>分。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  <w:t>注：需提供合同扫描件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  <w:t>或验收证明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  <w:t>，不提供不得分。</w:t>
            </w:r>
          </w:p>
        </w:tc>
        <w:tc>
          <w:tcPr>
            <w:tcW w:w="549" w:type="pct"/>
            <w:tcBorders>
              <w:top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9" w:type="pc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105" w:type="pc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0"/>
                <w:kern w:val="0"/>
                <w:sz w:val="24"/>
                <w:szCs w:val="24"/>
                <w:lang w:eastAsia="zh-CN"/>
              </w:rPr>
              <w:t>团队专业性</w:t>
            </w:r>
          </w:p>
        </w:tc>
        <w:tc>
          <w:tcPr>
            <w:tcW w:w="298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GB"/>
              </w:rPr>
              <w:t>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GB" w:eastAsia="zh-CN" w:bidi="ar-SA"/>
              </w:rPr>
              <w:t>据投标人拟投入本项目的负责人和团队人员的资历、工作经验、人员数量等进行评价：</w:t>
            </w:r>
          </w:p>
          <w:p>
            <w:pPr>
              <w:pStyle w:val="9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项目负责人：</w:t>
            </w:r>
          </w:p>
          <w:p>
            <w:pPr>
              <w:widowControl/>
              <w:numPr>
                <w:ilvl w:val="0"/>
                <w:numId w:val="5"/>
              </w:numP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GB" w:eastAsia="zh-CN" w:bidi="ar-SA"/>
              </w:rPr>
              <w:t>拟投入本项目的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负责人有医院同类项目经验的，且承诺如中途更换项目负责人同样具备同类项目经验的，得5分；</w:t>
            </w:r>
          </w:p>
          <w:p>
            <w:pPr>
              <w:widowControl/>
              <w:numPr>
                <w:ilvl w:val="0"/>
                <w:numId w:val="5"/>
              </w:numP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GB" w:eastAsia="zh-CN" w:bidi="ar-SA"/>
              </w:rPr>
              <w:t>拟投入本项目的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负责人有医院同类项目经验的，但不承诺如中途更换项目负责人同样具备同类项目经验的，得3分；</w:t>
            </w:r>
          </w:p>
          <w:p>
            <w:pPr>
              <w:widowControl/>
              <w:numPr>
                <w:ilvl w:val="0"/>
                <w:numId w:val="5"/>
              </w:numP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GB" w:eastAsia="zh-CN" w:bidi="ar-SA"/>
              </w:rPr>
              <w:t>拟投入本项目的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负责人没有医院同类项目经验的，不得分。</w:t>
            </w:r>
          </w:p>
          <w:p>
            <w:pPr>
              <w:pStyle w:val="9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注：①同类项目业绩需提供业绩合同文件，合同文件需体现项目负责人姓名（如合同文件不能体现项目负责人信息，需业主单位提供证明文件））；② 提供项目负责人近3个月（扣除发布招标公告当月往前顺推）内任意一个月在投标人本单位参保的证明材料扫描件，加盖投标人公章；③未提供或提供不全的不得分。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团队人员：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1）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GB" w:eastAsia="zh-CN" w:bidi="ar-SA"/>
              </w:rPr>
              <w:t>拟投入本项目的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团队人员，有人数在5人以上的，得5分；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2）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GB" w:eastAsia="zh-CN" w:bidi="ar-SA"/>
              </w:rPr>
              <w:t>拟投入本项目的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团队人员，人数2~4人的，得2分；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3）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GB" w:eastAsia="zh-CN" w:bidi="ar-SA"/>
              </w:rPr>
              <w:t>拟投入本项目的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团队人员，人数为1人，得1分。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注：①需提供毕业证、学位证等证明材料；② 提供近3个月（扣除发布招标公告当月往前顺推）内任意一个月在投标人本单位参保的证明材料扫描件，加盖投标人公章；③未提供或提供不全的不得分。</w:t>
            </w:r>
          </w:p>
        </w:tc>
        <w:tc>
          <w:tcPr>
            <w:tcW w:w="549" w:type="pc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9" w:type="pc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05" w:type="pc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shd w:val="clear" w:color="auto" w:fill="FFFFFF"/>
              </w:rPr>
              <w:t>资源保障</w:t>
            </w:r>
          </w:p>
        </w:tc>
        <w:tc>
          <w:tcPr>
            <w:tcW w:w="298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  <w:t>提供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资源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  <w:t>清单（如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直播设备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  <w:t>等）</w:t>
            </w:r>
          </w:p>
          <w:p>
            <w:pPr>
              <w:pStyle w:val="3"/>
              <w:numPr>
                <w:ilvl w:val="0"/>
                <w:numId w:val="6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val="en-US" w:eastAsia="zh-CN"/>
              </w:rPr>
              <w:t>设备齐全，得2分；</w:t>
            </w:r>
          </w:p>
          <w:p>
            <w:pPr>
              <w:pStyle w:val="3"/>
              <w:numPr>
                <w:ilvl w:val="0"/>
                <w:numId w:val="6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val="en-US" w:eastAsia="zh-CN"/>
              </w:rPr>
              <w:t>设备较为齐全，得1分</w:t>
            </w:r>
          </w:p>
          <w:p>
            <w:pPr>
              <w:pStyle w:val="3"/>
              <w:numPr>
                <w:ilvl w:val="0"/>
                <w:numId w:val="6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val="en-US" w:eastAsia="zh-CN"/>
              </w:rPr>
              <w:t>没有设备，不得分</w:t>
            </w:r>
          </w:p>
          <w:p>
            <w:pPr>
              <w:pStyle w:val="3"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549" w:type="pc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9" w:type="pc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05" w:type="pc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shd w:val="clear" w:color="auto" w:fill="FFFFFF"/>
              </w:rPr>
              <w:t>反馈机制</w:t>
            </w:r>
          </w:p>
        </w:tc>
        <w:tc>
          <w:tcPr>
            <w:tcW w:w="298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9"/>
              <w:spacing w:before="120" w:after="120" w:line="36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</w:rPr>
              <w:t>承诺收集受众满意度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，得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val="en-US" w:eastAsia="zh-CN"/>
              </w:rPr>
              <w:t>2分；不承诺不得分</w:t>
            </w:r>
          </w:p>
        </w:tc>
        <w:tc>
          <w:tcPr>
            <w:tcW w:w="549" w:type="pc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9" w:type="pc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05" w:type="pct"/>
            <w:tcBorders>
              <w:top w:val="single" w:color="auto" w:sz="6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  <w:t>宣传推广</w:t>
            </w:r>
          </w:p>
        </w:tc>
        <w:tc>
          <w:tcPr>
            <w:tcW w:w="2985" w:type="pct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spacing w:before="120" w:after="120" w:line="36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eastAsia="zh-CN"/>
              </w:rPr>
              <w:t>承诺在活动前、中、后利用各种可用的媒体平台进行宣传推广，得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shd w:val="clear" w:color="auto" w:fill="FFFFFF"/>
                <w:lang w:val="en-US" w:eastAsia="zh-CN"/>
              </w:rPr>
              <w:t>2分；不承诺不得分</w:t>
            </w:r>
          </w:p>
        </w:tc>
        <w:tc>
          <w:tcPr>
            <w:tcW w:w="549" w:type="pct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pPr>
        <w:pStyle w:val="9"/>
        <w:spacing w:before="120" w:line="360" w:lineRule="auto"/>
        <w:rPr>
          <w:rFonts w:hint="eastAsia" w:ascii="宋体" w:hAnsi="宋体" w:eastAsia="宋体"/>
          <w:b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b/>
          <w:sz w:val="28"/>
          <w:szCs w:val="28"/>
          <w:shd w:val="clear" w:color="auto" w:fill="FFFFFF"/>
        </w:rPr>
        <w:t>3</w:t>
      </w:r>
      <w:r>
        <w:rPr>
          <w:rFonts w:hint="eastAsia" w:ascii="宋体" w:hAnsi="宋体" w:eastAsia="宋体"/>
          <w:b/>
          <w:sz w:val="28"/>
          <w:szCs w:val="28"/>
          <w:shd w:val="clear" w:color="auto" w:fill="FFFFFF"/>
          <w:lang w:eastAsia="zh-CN"/>
        </w:rPr>
        <w:t>.</w:t>
      </w:r>
      <w:r>
        <w:rPr>
          <w:rFonts w:hint="eastAsia" w:ascii="宋体" w:hAnsi="宋体" w:eastAsia="宋体"/>
          <w:b/>
          <w:sz w:val="28"/>
          <w:szCs w:val="28"/>
          <w:shd w:val="clear" w:color="auto" w:fill="FFFFFF"/>
        </w:rPr>
        <w:t>价格部分（权重</w:t>
      </w:r>
      <w:r>
        <w:rPr>
          <w:rFonts w:ascii="宋体" w:hAnsi="宋体" w:eastAsia="宋体"/>
          <w:b/>
          <w:sz w:val="28"/>
          <w:szCs w:val="28"/>
          <w:shd w:val="clear" w:color="auto" w:fill="FFFFFF"/>
        </w:rPr>
        <w:t>30</w:t>
      </w:r>
      <w:r>
        <w:rPr>
          <w:rFonts w:hint="eastAsia" w:ascii="宋体" w:hAnsi="宋体" w:eastAsia="宋体"/>
          <w:b/>
          <w:sz w:val="28"/>
          <w:szCs w:val="28"/>
          <w:shd w:val="clear" w:color="auto" w:fill="FFFFFF"/>
        </w:rPr>
        <w:t>％）：</w:t>
      </w:r>
    </w:p>
    <w:bookmarkEnd w:id="0"/>
    <w:p>
      <w:pPr>
        <w:pStyle w:val="9"/>
        <w:spacing w:before="0" w:after="0" w:line="360" w:lineRule="auto"/>
        <w:ind w:firstLine="600" w:firstLineChars="200"/>
        <w:rPr>
          <w:rFonts w:hint="eastAsia" w:ascii="宋体" w:hAnsi="宋体" w:eastAsia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sz w:val="28"/>
          <w:szCs w:val="28"/>
          <w:shd w:val="clear" w:color="auto" w:fill="FFFFFF"/>
        </w:rPr>
        <w:t>经评选小组审核，满足采购文件要求，以报</w:t>
      </w:r>
      <w:r>
        <w:rPr>
          <w:rFonts w:ascii="宋体" w:hAnsi="宋体" w:eastAsia="宋体"/>
          <w:sz w:val="28"/>
          <w:szCs w:val="28"/>
          <w:shd w:val="clear" w:color="auto" w:fill="FFFFFF"/>
        </w:rPr>
        <w:t>价</w:t>
      </w:r>
      <w:r>
        <w:rPr>
          <w:rFonts w:hint="eastAsia" w:ascii="宋体" w:hAnsi="宋体" w:eastAsia="宋体"/>
          <w:sz w:val="28"/>
          <w:szCs w:val="28"/>
          <w:shd w:val="clear" w:color="auto" w:fill="FFFFFF"/>
        </w:rPr>
        <w:t>最低者定为评选基准价，其对应报价得分为满分。</w:t>
      </w:r>
    </w:p>
    <w:p>
      <w:pPr>
        <w:pStyle w:val="9"/>
        <w:spacing w:before="0" w:after="0" w:line="360" w:lineRule="auto"/>
        <w:ind w:firstLine="602" w:firstLineChars="200"/>
        <w:rPr>
          <w:rFonts w:hint="eastAsia" w:ascii="宋体" w:hAnsi="宋体" w:eastAsia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b/>
          <w:sz w:val="28"/>
          <w:szCs w:val="28"/>
          <w:shd w:val="clear" w:color="auto" w:fill="FFFFFF"/>
        </w:rPr>
        <w:t>报价得分＝（评选基准价÷评选最后报价）×价格分值</w:t>
      </w:r>
    </w:p>
    <w:p>
      <w:pPr>
        <w:pStyle w:val="9"/>
        <w:tabs>
          <w:tab w:val="left" w:pos="567"/>
        </w:tabs>
        <w:spacing w:before="0" w:after="0" w:line="360" w:lineRule="auto"/>
        <w:rPr>
          <w:rFonts w:ascii="宋体" w:hAnsi="宋体" w:eastAsia="宋体"/>
          <w:b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b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/>
          <w:b/>
          <w:sz w:val="28"/>
          <w:szCs w:val="28"/>
          <w:shd w:val="clear" w:color="auto" w:fill="FFFFFF"/>
        </w:rPr>
        <w:t>.评分汇总：</w:t>
      </w:r>
    </w:p>
    <w:p>
      <w:pPr>
        <w:tabs>
          <w:tab w:val="left" w:pos="1260"/>
        </w:tabs>
        <w:spacing w:line="360" w:lineRule="auto"/>
        <w:ind w:left="181"/>
        <w:rPr>
          <w:rFonts w:hint="eastAsia" w:ascii="宋体" w:hAnsi="宋体" w:eastAsia="宋体"/>
          <w:b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（1）单项部分得分＝各专家评分总和÷专家人数</w:t>
      </w:r>
    </w:p>
    <w:p>
      <w:pPr>
        <w:tabs>
          <w:tab w:val="left" w:pos="1260"/>
        </w:tabs>
        <w:spacing w:line="360" w:lineRule="auto"/>
        <w:ind w:left="181"/>
        <w:rPr>
          <w:rFonts w:ascii="宋体" w:hAnsi="宋体" w:eastAsia="宋体"/>
          <w:b/>
          <w:bCs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/>
          <w:b/>
          <w:bCs/>
          <w:snapToGrid w:val="0"/>
          <w:kern w:val="0"/>
          <w:sz w:val="28"/>
          <w:szCs w:val="28"/>
        </w:rPr>
        <w:t>（2）最终得分＝技术服务得分+商务得分+价格得分（总分精确到二位小数）</w:t>
      </w:r>
    </w:p>
    <w:p>
      <w:pP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hd w:val="clear" w:fill="FFFFFF"/>
          <w:lang w:eastAsia="zh-CN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43EB1"/>
    <w:multiLevelType w:val="singleLevel"/>
    <w:tmpl w:val="AA343EB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EF3F6E2"/>
    <w:multiLevelType w:val="singleLevel"/>
    <w:tmpl w:val="EEF3F6E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CBFAF40"/>
    <w:multiLevelType w:val="singleLevel"/>
    <w:tmpl w:val="FCBFAF40"/>
    <w:lvl w:ilvl="0" w:tentative="0">
      <w:start w:val="1"/>
      <w:numFmt w:val="decimal"/>
      <w:suff w:val="nothing"/>
      <w:lvlText w:val="%1）"/>
      <w:lvlJc w:val="left"/>
    </w:lvl>
  </w:abstractNum>
  <w:abstractNum w:abstractNumId="3">
    <w:nsid w:val="01A33CB1"/>
    <w:multiLevelType w:val="singleLevel"/>
    <w:tmpl w:val="01A33CB1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1C7A81E0"/>
    <w:multiLevelType w:val="singleLevel"/>
    <w:tmpl w:val="1C7A81E0"/>
    <w:lvl w:ilvl="0" w:tentative="0">
      <w:start w:val="1"/>
      <w:numFmt w:val="decimal"/>
      <w:suff w:val="nothing"/>
      <w:lvlText w:val="%1）"/>
      <w:lvlJc w:val="left"/>
    </w:lvl>
  </w:abstractNum>
  <w:abstractNum w:abstractNumId="5">
    <w:nsid w:val="6218EFD2"/>
    <w:multiLevelType w:val="singleLevel"/>
    <w:tmpl w:val="6218EFD2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2ODNkNWRhNDg0OGE4NTIwZDUyNjk5MTM2ZTE1MjcifQ=="/>
  </w:docVars>
  <w:rsids>
    <w:rsidRoot w:val="7350573E"/>
    <w:rsid w:val="081E222D"/>
    <w:rsid w:val="0E803450"/>
    <w:rsid w:val="11E57E68"/>
    <w:rsid w:val="3BFF3809"/>
    <w:rsid w:val="492D05E3"/>
    <w:rsid w:val="6AD477BB"/>
    <w:rsid w:val="704354BE"/>
    <w:rsid w:val="7350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1"/>
    <w:pPr>
      <w:spacing w:after="120"/>
    </w:pPr>
    <w:rPr>
      <w:rFonts w:ascii="等线" w:hAnsi="等线" w:eastAsia="等线" w:cs="Times New Roman"/>
      <w:szCs w:val="22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表格文字"/>
    <w:basedOn w:val="1"/>
    <w:qFormat/>
    <w:uiPriority w:val="0"/>
    <w:pPr>
      <w:spacing w:before="25" w:after="25"/>
      <w:jc w:val="left"/>
    </w:pPr>
    <w:rPr>
      <w:bCs/>
      <w:spacing w:val="1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2680</Words>
  <Characters>2767</Characters>
  <Lines>0</Lines>
  <Paragraphs>0</Paragraphs>
  <TotalTime>9</TotalTime>
  <ScaleCrop>false</ScaleCrop>
  <LinksUpToDate>false</LinksUpToDate>
  <CharactersWithSpaces>2770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2025-05-27T07:32:00Z</dcterms:created>
  <dc:creator>黄晓晴</dc:creator>
  <cp:lastModifiedBy>杨波</cp:lastModifiedBy>
  <dcterms:modified xsi:type="dcterms:W3CDTF">2025-05-28T08:20:53Z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DAE2473C049042658E6AD9A510C050E6_13</vt:lpwstr>
  </property>
  <property fmtid="{D5CDD505-2E9C-101B-9397-08002B2CF9AE}" pid="4" name="KSOTemplateDocerSaveRecord">
    <vt:lpwstr>eyJoZGlkIjoiYmRiMGY1NTA1ODNhMTZhZTI3MjQyY2IwNjZlOWFjZWIiLCJ1c2VySWQiOiIyNzcwNDA0MTQifQ==</vt:lpwstr>
  </property>
</Properties>
</file>