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b/>
        </w:rPr>
        <w:t>1.主要商务要求</w:t>
      </w:r>
    </w:p>
    <w:tbl>
      <w:tblPr>
        <w:tblStyle w:val="5"/>
        <w:tblpPr w:leftFromText="180" w:rightFromText="180" w:horzAnchor="margin" w:tblpY="46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r>
              <w:t>标的提供的时间</w:t>
            </w:r>
          </w:p>
        </w:tc>
        <w:tc>
          <w:tcPr>
            <w:tcW w:w="4153" w:type="dxa"/>
          </w:tcPr>
          <w:p>
            <w:r>
              <w:t>自合同签订生效之日起</w:t>
            </w:r>
            <w:r>
              <w:rPr>
                <w:rFonts w:hint="eastAsia"/>
              </w:rPr>
              <w:t>2</w:t>
            </w:r>
            <w:r>
              <w:t>年或实际采购金额达到采购预算金额，以两者先达到的为准。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r>
              <w:t>标的提供的地点</w:t>
            </w:r>
          </w:p>
        </w:tc>
        <w:tc>
          <w:tcPr>
            <w:tcW w:w="4153" w:type="dxa"/>
          </w:tcPr>
          <w:p>
            <w:r>
              <w:t>采购人指定地点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r>
              <w:t>付款方式</w:t>
            </w:r>
          </w:p>
        </w:tc>
        <w:tc>
          <w:tcPr>
            <w:tcW w:w="4153" w:type="dxa"/>
          </w:tcPr>
          <w:p>
            <w:r>
              <w:t>1期：支付比例100%,（1）中药饮片供应服务按月实际供货量产生的费用结算。（2）每月供货完成并经验收合格后，凭双方确认的送货单、验收单、入 库单，中标供应商开具合规的增值税普通发票交付采购人，采购人在收到发票核实无误后按时付款。（3）发票的收款方、出具发票方、合同乙方均必须与 中标（成交）供应商名称一致。（4）各品种采购结算金额=采购品种最高限价单价× 中标折扣率×实际采购数量，总额不得超过预算金额。（</w:t>
            </w:r>
            <w:r>
              <w:rPr>
                <w:rFonts w:hint="eastAsia"/>
              </w:rPr>
              <w:t>5</w:t>
            </w:r>
            <w:r>
              <w:t>）对于满足合同支付条件的，</w:t>
            </w:r>
            <w:r>
              <w:rPr>
                <w:rFonts w:hint="eastAsia"/>
              </w:rPr>
              <w:t>款项按月据实结算，自发票登记入库下月起180天内支付，每月支付一次，付款方式采用支票、转账或承兑汇票、信用证等方式。</w:t>
            </w:r>
            <w:r>
              <w:t>（</w:t>
            </w:r>
            <w:r>
              <w:rPr>
                <w:rFonts w:hint="eastAsia"/>
              </w:rPr>
              <w:t>6</w:t>
            </w:r>
            <w:r>
              <w:t>）如因中标供应商未及时与采购人结算、中标供应商在付款前未提供相 应合规的等额增值税普通发票、中标供应商未提供本合同要求的文件（包括但不限于资质证明、中药饮片合格证明、验收合格证明等）的，采购人不承担相 应延期付款责任。（</w:t>
            </w:r>
            <w:r>
              <w:rPr>
                <w:rFonts w:hint="eastAsia"/>
              </w:rPr>
              <w:t>7</w:t>
            </w:r>
            <w:r>
              <w:t>）如项目发生合同融资，采购人应当将合同款项支付到合同约定收款账户。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r>
              <w:t>验收要求</w:t>
            </w:r>
          </w:p>
        </w:tc>
        <w:tc>
          <w:tcPr>
            <w:tcW w:w="4153" w:type="dxa"/>
          </w:tcPr>
          <w:p>
            <w:r>
              <w:t>1期：（1）按批次验收，按行业及国家标准、采购要求、标准进行验收。（2 ) 中标供应商每次送货时，采购人如发现数量不足或外包装破损，可拒收破损 货物，并应在运输签收单据上注明缺损情况，且于当日及时告知中标供应商。采购人应在收到中标供应商产品之日起7天内，对中标供应商药品进行检查，若发现中标供应商药品存在包装破损、短缺或其他非质量问题时，应在及时通知中标供应商。中标供应商收到采购人通知后，如认为采购人所提出的包装破损或其他非质量问题属实，中标供应商应在24小时内调换或补足。（3）中标供应商供应的饮片每批次均须提供产品检验报告等验收资料以及一式二份的送货清单交库房验收，经对货物验收无误后，双方都必须在送货清单上签名确认 , 中标供应商及中药库各留一份存底。（4）对于采购人滞销产品（采购人收货90天后仍未销售），投标供应商承诺可无条件退回货款</w:t>
            </w:r>
            <w:r>
              <w:rPr>
                <w:rFonts w:hint="eastAsia"/>
              </w:rPr>
              <w:t>，</w:t>
            </w:r>
            <w:r>
              <w:t>取回滞销产品。（5）对于采购人到货后的剩余有效期不足6个月的药品，中标供应商免费进行更换。（6）药品出现受潮、结块、虫蛀、风化、霉变等情形，中标供应商 免费进行更换，如因采购人使用、仓储不善等自身原因造成药品失效或变质等 产品质量问题除外。（7）退、换货产生的运输费用由中标供应商承担。（8</w:t>
            </w:r>
            <w:r>
              <w:rPr>
                <w:rFonts w:hint="eastAsia"/>
              </w:rPr>
              <w:t>）</w:t>
            </w:r>
            <w:r>
              <w:t xml:space="preserve"> 采购人负责管理到库的产品，遵循“先进先出” 的库存管理原则，要求产品退换时必须提前通知中标供应商，并附退货红单证明。采购人办理退货时，需确 保退货包装及数量完整（包装内药物品名、规格、批号一致）。（9）中标后 , 供应商承诺生产企业与采购人签订“质量保证协议书” ，并向医院提供每一批 药品的质检报告。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r>
              <w:t>履约保证金</w:t>
            </w:r>
          </w:p>
        </w:tc>
        <w:tc>
          <w:tcPr>
            <w:tcW w:w="4153" w:type="dxa"/>
          </w:tcPr>
          <w:p>
            <w:r>
              <w:rPr>
                <w:rFonts w:hint="eastAsia"/>
              </w:rPr>
              <w:t>不收取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r>
              <w:t>其他</w:t>
            </w:r>
          </w:p>
        </w:tc>
        <w:tc>
          <w:tcPr>
            <w:tcW w:w="4153" w:type="dxa"/>
          </w:tcPr>
          <w:p/>
        </w:tc>
      </w:tr>
    </w:tbl>
    <w:p/>
    <w:p>
      <w:pPr>
        <w:pStyle w:val="2"/>
        <w:spacing w:before="147" w:line="221" w:lineRule="auto"/>
        <w:rPr>
          <w:sz w:val="19"/>
          <w:szCs w:val="19"/>
          <w:lang w:eastAsia="zh-CN"/>
        </w:rPr>
      </w:pPr>
      <w:r>
        <w:rPr>
          <w:sz w:val="19"/>
          <w:szCs w:val="19"/>
        </w:rPr>
        <w:t>其他商务需求</w:t>
      </w:r>
    </w:p>
    <w:tbl>
      <w:tblPr>
        <w:tblStyle w:val="11"/>
        <w:tblW w:w="10552" w:type="dxa"/>
        <w:tblInd w:w="-6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413"/>
        <w:gridCol w:w="408"/>
        <w:gridCol w:w="407"/>
        <w:gridCol w:w="9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1543" w:hRule="atLeast"/>
        </w:trPr>
        <w:tc>
          <w:tcPr>
            <w:tcW w:w="413" w:type="dxa"/>
            <w:shd w:val="clear" w:color="auto" w:fill="FFFFFF" w:themeFill="background1"/>
            <w:textDirection w:val="tbRlV"/>
          </w:tcPr>
          <w:p>
            <w:pPr>
              <w:widowControl/>
              <w:kinsoku w:val="0"/>
              <w:autoSpaceDE w:val="0"/>
              <w:autoSpaceDN w:val="0"/>
              <w:adjustRightInd w:val="0"/>
              <w:snapToGrid w:val="0"/>
              <w:spacing w:before="114" w:line="213" w:lineRule="auto"/>
              <w:ind w:left="89"/>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1"/>
                <w:kern w:val="0"/>
                <w:sz w:val="19"/>
                <w:szCs w:val="19"/>
                <w:lang w:eastAsia="en-US"/>
              </w:rPr>
              <w:t>参  数  性  质</w:t>
            </w:r>
          </w:p>
        </w:tc>
        <w:tc>
          <w:tcPr>
            <w:tcW w:w="408" w:type="dxa"/>
            <w:shd w:val="clear" w:color="auto" w:fill="FFFFFF" w:themeFill="background1"/>
            <w:textDirection w:val="tbRlV"/>
          </w:tcPr>
          <w:p>
            <w:pPr>
              <w:widowControl/>
              <w:kinsoku w:val="0"/>
              <w:autoSpaceDE w:val="0"/>
              <w:autoSpaceDN w:val="0"/>
              <w:adjustRightInd w:val="0"/>
              <w:snapToGrid w:val="0"/>
              <w:spacing w:before="114" w:line="212" w:lineRule="auto"/>
              <w:ind w:left="473"/>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1"/>
                <w:kern w:val="0"/>
                <w:sz w:val="19"/>
                <w:szCs w:val="19"/>
                <w:lang w:eastAsia="en-US"/>
              </w:rPr>
              <w:t>编  号</w:t>
            </w:r>
          </w:p>
        </w:tc>
        <w:tc>
          <w:tcPr>
            <w:tcW w:w="407" w:type="dxa"/>
            <w:shd w:val="clear" w:color="auto" w:fill="FFFFFF" w:themeFill="background1"/>
            <w:textDirection w:val="tbRlV"/>
          </w:tcPr>
          <w:p>
            <w:pPr>
              <w:widowControl/>
              <w:kinsoku w:val="0"/>
              <w:autoSpaceDE w:val="0"/>
              <w:autoSpaceDN w:val="0"/>
              <w:adjustRightInd w:val="0"/>
              <w:snapToGrid w:val="0"/>
              <w:spacing w:before="113" w:line="213" w:lineRule="auto"/>
              <w:ind w:left="89"/>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1"/>
                <w:kern w:val="0"/>
                <w:sz w:val="19"/>
                <w:szCs w:val="19"/>
                <w:lang w:eastAsia="en-US"/>
              </w:rPr>
              <w:t>内  容  明  细</w:t>
            </w:r>
          </w:p>
        </w:tc>
        <w:tc>
          <w:tcPr>
            <w:tcW w:w="9324" w:type="dxa"/>
            <w:shd w:val="clear" w:color="auto" w:fill="FFFFFF" w:themeFill="background1"/>
          </w:tcPr>
          <w:p>
            <w:pPr>
              <w:widowControl/>
              <w:kinsoku w:val="0"/>
              <w:autoSpaceDE w:val="0"/>
              <w:autoSpaceDN w:val="0"/>
              <w:adjustRightInd w:val="0"/>
              <w:snapToGrid w:val="0"/>
              <w:spacing w:line="300" w:lineRule="auto"/>
              <w:jc w:val="left"/>
              <w:textAlignment w:val="baseline"/>
              <w:rPr>
                <w:rFonts w:asciiTheme="minorHAnsi" w:hAnsiTheme="minorHAnsi" w:cstheme="minorBidi"/>
                <w:snapToGrid w:val="0"/>
                <w:color w:val="000000"/>
                <w:kern w:val="0"/>
                <w:lang w:eastAsia="zh-CN"/>
              </w:rPr>
            </w:pPr>
          </w:p>
          <w:p>
            <w:pPr>
              <w:widowControl/>
              <w:kinsoku w:val="0"/>
              <w:autoSpaceDE w:val="0"/>
              <w:autoSpaceDN w:val="0"/>
              <w:adjustRightInd w:val="0"/>
              <w:snapToGrid w:val="0"/>
              <w:spacing w:line="300" w:lineRule="auto"/>
              <w:jc w:val="left"/>
              <w:textAlignment w:val="baseline"/>
              <w:rPr>
                <w:rFonts w:asciiTheme="minorHAnsi" w:hAnsiTheme="minorHAnsi" w:cstheme="minorBidi"/>
                <w:snapToGrid w:val="0"/>
                <w:color w:val="000000"/>
                <w:kern w:val="0"/>
                <w:lang w:eastAsia="zh-CN"/>
              </w:rPr>
            </w:pPr>
          </w:p>
          <w:p>
            <w:pPr>
              <w:widowControl/>
              <w:kinsoku w:val="0"/>
              <w:autoSpaceDE w:val="0"/>
              <w:autoSpaceDN w:val="0"/>
              <w:adjustRightInd w:val="0"/>
              <w:snapToGrid w:val="0"/>
              <w:spacing w:before="61" w:line="221" w:lineRule="auto"/>
              <w:jc w:val="center"/>
              <w:textAlignment w:val="baseline"/>
              <w:rPr>
                <w:rFonts w:asciiTheme="minorHAnsi" w:hAnsiTheme="minorHAnsi" w:cstheme="minorBidi"/>
                <w:snapToGrid w:val="0"/>
                <w:color w:val="000000"/>
                <w:kern w:val="0"/>
                <w:lang w:eastAsia="zh-CN"/>
              </w:rPr>
            </w:pPr>
            <w:r>
              <w:rPr>
                <w:rFonts w:asciiTheme="minorHAnsi" w:hAnsiTheme="minorHAnsi" w:cstheme="minorBidi"/>
                <w:snapToGrid w:val="0"/>
                <w:color w:val="000000"/>
                <w:kern w:val="0"/>
                <w:lang w:eastAsia="zh-CN"/>
              </w:rPr>
              <w:t>内容说明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4136" w:hRule="atLeast"/>
        </w:trPr>
        <w:tc>
          <w:tcPr>
            <w:tcW w:w="413" w:type="dxa"/>
            <w:shd w:val="clear" w:color="auto" w:fill="FFFFFF" w:themeFill="background1"/>
          </w:tcPr>
          <w:p>
            <w:pPr>
              <w:widowControl/>
              <w:kinsoku w:val="0"/>
              <w:autoSpaceDE w:val="0"/>
              <w:autoSpaceDN w:val="0"/>
              <w:adjustRightInd w:val="0"/>
              <w:snapToGrid w:val="0"/>
              <w:spacing w:line="265"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5"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5"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before="82" w:line="169" w:lineRule="auto"/>
              <w:ind w:left="128"/>
              <w:jc w:val="left"/>
              <w:textAlignment w:val="baseline"/>
              <w:rPr>
                <w:rFonts w:ascii="微软雅黑" w:hAnsi="微软雅黑" w:eastAsia="微软雅黑" w:cs="微软雅黑"/>
                <w:snapToGrid w:val="0"/>
                <w:color w:val="000000"/>
                <w:kern w:val="0"/>
                <w:sz w:val="19"/>
                <w:szCs w:val="19"/>
                <w:lang w:eastAsia="en-US"/>
              </w:rPr>
            </w:pPr>
            <w:r>
              <w:rPr>
                <w:rFonts w:ascii="微软雅黑" w:hAnsi="微软雅黑" w:eastAsia="微软雅黑" w:cs="微软雅黑"/>
                <w:snapToGrid w:val="0"/>
                <w:color w:val="000000"/>
                <w:spacing w:val="3"/>
                <w:kern w:val="0"/>
                <w:sz w:val="19"/>
                <w:szCs w:val="19"/>
                <w:lang w:eastAsia="en-US"/>
              </w:rPr>
              <w:t>★</w:t>
            </w:r>
          </w:p>
        </w:tc>
        <w:tc>
          <w:tcPr>
            <w:tcW w:w="408" w:type="dxa"/>
            <w:shd w:val="clear" w:color="auto" w:fill="FFFFFF" w:themeFill="background1"/>
          </w:tcPr>
          <w:p>
            <w:pPr>
              <w:widowControl/>
              <w:kinsoku w:val="0"/>
              <w:autoSpaceDE w:val="0"/>
              <w:autoSpaceDN w:val="0"/>
              <w:adjustRightInd w:val="0"/>
              <w:snapToGrid w:val="0"/>
              <w:spacing w:line="265"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5"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5"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en-US"/>
              </w:rPr>
            </w:pPr>
          </w:p>
          <w:p>
            <w:pPr>
              <w:widowControl/>
              <w:kinsoku w:val="0"/>
              <w:autoSpaceDE w:val="0"/>
              <w:autoSpaceDN w:val="0"/>
              <w:adjustRightInd w:val="0"/>
              <w:snapToGrid w:val="0"/>
              <w:spacing w:line="266" w:lineRule="auto"/>
              <w:jc w:val="left"/>
              <w:textAlignment w:val="baseline"/>
              <w:rPr>
                <w:rFonts w:ascii="Arial" w:hAnsi="Arial" w:cs="Arial"/>
                <w:snapToGrid w:val="0"/>
                <w:color w:val="000000"/>
                <w:kern w:val="0"/>
                <w:szCs w:val="21"/>
                <w:lang w:eastAsia="zh-CN"/>
              </w:rPr>
            </w:pPr>
          </w:p>
          <w:p>
            <w:pPr>
              <w:widowControl/>
              <w:kinsoku w:val="0"/>
              <w:autoSpaceDE w:val="0"/>
              <w:autoSpaceDN w:val="0"/>
              <w:adjustRightInd w:val="0"/>
              <w:snapToGrid w:val="0"/>
              <w:spacing w:before="81" w:line="169" w:lineRule="auto"/>
              <w:ind w:left="156"/>
              <w:jc w:val="left"/>
              <w:textAlignment w:val="baseline"/>
              <w:rPr>
                <w:rFonts w:ascii="微软雅黑" w:hAnsi="微软雅黑" w:eastAsia="微软雅黑" w:cs="微软雅黑"/>
                <w:snapToGrid w:val="0"/>
                <w:color w:val="000000"/>
                <w:kern w:val="0"/>
                <w:sz w:val="19"/>
                <w:szCs w:val="19"/>
                <w:lang w:eastAsia="en-US"/>
              </w:rPr>
            </w:pPr>
            <w:r>
              <w:rPr>
                <w:rFonts w:ascii="微软雅黑" w:hAnsi="微软雅黑" w:eastAsia="微软雅黑" w:cs="微软雅黑"/>
                <w:snapToGrid w:val="0"/>
                <w:color w:val="000000"/>
                <w:kern w:val="0"/>
                <w:sz w:val="19"/>
                <w:szCs w:val="19"/>
                <w:lang w:eastAsia="en-US"/>
              </w:rPr>
              <w:t>1</w:t>
            </w:r>
          </w:p>
        </w:tc>
        <w:tc>
          <w:tcPr>
            <w:tcW w:w="407" w:type="dxa"/>
            <w:shd w:val="clear" w:color="auto" w:fill="FFFFFF" w:themeFill="background1"/>
            <w:textDirection w:val="tbRlV"/>
          </w:tcPr>
          <w:p>
            <w:pPr>
              <w:widowControl/>
              <w:kinsoku w:val="0"/>
              <w:autoSpaceDE w:val="0"/>
              <w:autoSpaceDN w:val="0"/>
              <w:adjustRightInd w:val="0"/>
              <w:snapToGrid w:val="0"/>
              <w:spacing w:before="113" w:line="208" w:lineRule="auto"/>
              <w:ind w:left="113" w:firstLine="1152" w:firstLineChars="600"/>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1"/>
                <w:kern w:val="0"/>
                <w:sz w:val="19"/>
                <w:szCs w:val="19"/>
                <w:lang w:eastAsia="en-US"/>
              </w:rPr>
              <w:t>报  价  要  求</w:t>
            </w:r>
          </w:p>
        </w:tc>
        <w:tc>
          <w:tcPr>
            <w:tcW w:w="9324" w:type="dxa"/>
            <w:shd w:val="clear" w:color="auto" w:fill="FFFFFF" w:themeFill="background1"/>
          </w:tcPr>
          <w:p>
            <w:pPr>
              <w:rPr>
                <w:rFonts w:asciiTheme="minorHAnsi" w:hAnsiTheme="minorHAnsi" w:cstheme="minorBidi"/>
                <w:snapToGrid w:val="0"/>
                <w:color w:val="000000"/>
                <w:kern w:val="0"/>
                <w:lang w:eastAsia="zh-CN"/>
              </w:rPr>
            </w:pPr>
            <w:r>
              <w:rPr>
                <w:rFonts w:asciiTheme="minorHAnsi" w:hAnsiTheme="minorHAnsi" w:cstheme="minorBidi"/>
                <w:snapToGrid w:val="0"/>
                <w:color w:val="000000"/>
                <w:kern w:val="0"/>
                <w:lang w:eastAsia="zh-CN"/>
              </w:rPr>
              <w:t>1、有效报价范围：供应商须以有效折扣率形式对本项目进行投标报价【供应商的折扣率的有效报价范围：0 %＜折扣率≤100%（最多可保留小数点后两位，如：95.88%），供应商所报的折扣率须在有效的报价范围内，否则视为无效投标。折扣率必须为固定的报价（如95.88%），不得存在区间值（如75~95.88%）】,供应商的饮片报价只报一个折扣率，不接受有选择性报价，且所报的折扣率应当适用于每种中药，否则视 为无效投标。中标供应商的折扣率为中标折扣率。每月按照以下公式计算实际结算金额：结算金额=采购数量 ×采购品种最高限价单价× 中标折扣率。 2、投标报价（投标折扣率）包含货物的价格、质量检测费、配  送运输费、包装费、耗材费用、设备维护费用、装卸费、搬运费、不合格货物的退换费用、人工费（包括人 员工资、社保、节假日慰问金等）、防疫费（即人工配送上门时的消毒、 口罩等的费用）、保险费、验收费 、售后服务费、税费、其他伴随服务费用及合同实施过程中的应预见和不可预见费用等完成本项目内容所需的一切费用。 3、供应商应被认为在填报投标报价之前，已经仔细阅读了本招标文件的所有有关章节以及审查了所有相关资料，已确保本次招标的所有招标范围内的一切可能产生的费用以及各种风险均已包含在投标报价内。在合同执行过程中，任何因供应商的疏漏而提出的不利于采购人的合同调价申请将不被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Ex>
        <w:trPr>
          <w:trHeight w:val="1125" w:hRule="atLeast"/>
        </w:trPr>
        <w:tc>
          <w:tcPr>
            <w:tcW w:w="413" w:type="dxa"/>
            <w:shd w:val="clear" w:color="auto" w:fill="FFFFFF" w:themeFill="background1"/>
          </w:tcPr>
          <w:p>
            <w:pPr>
              <w:widowControl/>
              <w:kinsoku w:val="0"/>
              <w:autoSpaceDE w:val="0"/>
              <w:autoSpaceDN w:val="0"/>
              <w:adjustRightInd w:val="0"/>
              <w:snapToGrid w:val="0"/>
              <w:jc w:val="left"/>
              <w:textAlignment w:val="baseline"/>
              <w:rPr>
                <w:rFonts w:ascii="Arial" w:hAnsi="Arial" w:cs="Arial"/>
                <w:snapToGrid w:val="0"/>
                <w:color w:val="000000"/>
                <w:kern w:val="0"/>
                <w:szCs w:val="21"/>
                <w:lang w:eastAsia="zh-CN"/>
              </w:rPr>
            </w:pPr>
          </w:p>
        </w:tc>
        <w:tc>
          <w:tcPr>
            <w:tcW w:w="408" w:type="dxa"/>
            <w:shd w:val="clear" w:color="auto" w:fill="FFFFFF" w:themeFill="background1"/>
          </w:tcPr>
          <w:p>
            <w:pPr>
              <w:widowControl/>
              <w:kinsoku w:val="0"/>
              <w:autoSpaceDE w:val="0"/>
              <w:autoSpaceDN w:val="0"/>
              <w:adjustRightInd w:val="0"/>
              <w:snapToGrid w:val="0"/>
              <w:spacing w:line="242" w:lineRule="auto"/>
              <w:jc w:val="left"/>
              <w:textAlignment w:val="baseline"/>
              <w:rPr>
                <w:rFonts w:ascii="Arial" w:hAnsi="Arial" w:cs="Arial"/>
                <w:snapToGrid w:val="0"/>
                <w:color w:val="000000"/>
                <w:kern w:val="0"/>
                <w:szCs w:val="21"/>
                <w:lang w:eastAsia="zh-CN"/>
              </w:rPr>
            </w:pPr>
          </w:p>
          <w:p>
            <w:pPr>
              <w:widowControl/>
              <w:kinsoku w:val="0"/>
              <w:autoSpaceDE w:val="0"/>
              <w:autoSpaceDN w:val="0"/>
              <w:adjustRightInd w:val="0"/>
              <w:snapToGrid w:val="0"/>
              <w:spacing w:line="242" w:lineRule="auto"/>
              <w:jc w:val="left"/>
              <w:textAlignment w:val="baseline"/>
              <w:rPr>
                <w:rFonts w:ascii="Arial" w:hAnsi="Arial" w:cs="Arial"/>
                <w:snapToGrid w:val="0"/>
                <w:color w:val="000000"/>
                <w:kern w:val="0"/>
                <w:szCs w:val="21"/>
                <w:lang w:eastAsia="zh-CN"/>
              </w:rPr>
            </w:pPr>
          </w:p>
          <w:p>
            <w:pPr>
              <w:widowControl/>
              <w:kinsoku w:val="0"/>
              <w:autoSpaceDE w:val="0"/>
              <w:autoSpaceDN w:val="0"/>
              <w:adjustRightInd w:val="0"/>
              <w:snapToGrid w:val="0"/>
              <w:spacing w:before="82" w:line="171" w:lineRule="auto"/>
              <w:ind w:left="149"/>
              <w:jc w:val="left"/>
              <w:textAlignment w:val="baseline"/>
              <w:rPr>
                <w:rFonts w:ascii="微软雅黑" w:hAnsi="微软雅黑" w:eastAsia="微软雅黑" w:cs="微软雅黑"/>
                <w:snapToGrid w:val="0"/>
                <w:color w:val="000000"/>
                <w:kern w:val="0"/>
                <w:sz w:val="19"/>
                <w:szCs w:val="19"/>
                <w:lang w:eastAsia="en-US"/>
              </w:rPr>
            </w:pPr>
            <w:r>
              <w:rPr>
                <w:rFonts w:ascii="微软雅黑" w:hAnsi="微软雅黑" w:eastAsia="微软雅黑" w:cs="微软雅黑"/>
                <w:snapToGrid w:val="0"/>
                <w:color w:val="000000"/>
                <w:kern w:val="0"/>
                <w:sz w:val="19"/>
                <w:szCs w:val="19"/>
                <w:lang w:eastAsia="en-US"/>
              </w:rPr>
              <w:t>2</w:t>
            </w:r>
          </w:p>
        </w:tc>
        <w:tc>
          <w:tcPr>
            <w:tcW w:w="407" w:type="dxa"/>
            <w:shd w:val="clear" w:color="auto" w:fill="FFFFFF" w:themeFill="background1"/>
            <w:textDirection w:val="tbRlV"/>
          </w:tcPr>
          <w:p>
            <w:pPr>
              <w:widowControl/>
              <w:kinsoku w:val="0"/>
              <w:autoSpaceDE w:val="0"/>
              <w:autoSpaceDN w:val="0"/>
              <w:adjustRightInd w:val="0"/>
              <w:snapToGrid w:val="0"/>
              <w:spacing w:before="113" w:line="208" w:lineRule="auto"/>
              <w:ind w:left="113"/>
              <w:jc w:val="left"/>
              <w:textAlignment w:val="baseline"/>
              <w:rPr>
                <w:rFonts w:ascii="宋体" w:hAnsi="宋体" w:eastAsia="宋体" w:cs="宋体"/>
                <w:snapToGrid w:val="0"/>
                <w:color w:val="000000"/>
                <w:kern w:val="0"/>
                <w:sz w:val="19"/>
                <w:szCs w:val="19"/>
                <w:lang w:eastAsia="en-US"/>
              </w:rPr>
            </w:pPr>
            <w:r>
              <w:rPr>
                <w:rFonts w:ascii="宋体" w:hAnsi="宋体" w:eastAsia="宋体" w:cs="宋体"/>
                <w:snapToGrid w:val="0"/>
                <w:color w:val="000000"/>
                <w:spacing w:val="1"/>
                <w:kern w:val="0"/>
                <w:sz w:val="19"/>
                <w:szCs w:val="19"/>
                <w:lang w:eastAsia="en-US"/>
              </w:rPr>
              <w:t>付款要求</w:t>
            </w:r>
          </w:p>
        </w:tc>
        <w:tc>
          <w:tcPr>
            <w:tcW w:w="9324" w:type="dxa"/>
            <w:shd w:val="clear" w:color="auto" w:fill="FFFFFF" w:themeFill="background1"/>
          </w:tcPr>
          <w:p>
            <w:pPr>
              <w:rPr>
                <w:rFonts w:asciiTheme="minorHAnsi" w:hAnsiTheme="minorHAnsi" w:cstheme="minorBidi"/>
                <w:snapToGrid w:val="0"/>
                <w:color w:val="000000"/>
                <w:kern w:val="0"/>
                <w:lang w:eastAsia="zh-CN"/>
              </w:rPr>
            </w:pPr>
            <w:r>
              <w:rPr>
                <w:rFonts w:asciiTheme="minorHAnsi" w:hAnsiTheme="minorHAnsi" w:cstheme="minorBidi"/>
                <w:snapToGrid w:val="0"/>
                <w:color w:val="000000"/>
                <w:kern w:val="0"/>
                <w:lang w:eastAsia="zh-CN"/>
              </w:rPr>
              <w:t>1、中标供应商须按合同约定的支付金额向采购人提供依法纳税的发票，采购人收到发票后按约定金额以转账方式转入中标供应商的银行账户。2、收款方、出具发票方、合同乙方均必须与中标供应商名称一致。</w:t>
            </w:r>
            <w:r>
              <w:rPr>
                <w:rFonts w:hint="eastAsia" w:asciiTheme="minorHAnsi" w:hAnsiTheme="minorHAnsi" w:cstheme="minorBidi"/>
                <w:snapToGrid w:val="0"/>
                <w:color w:val="000000"/>
                <w:kern w:val="0"/>
                <w:lang w:eastAsia="zh-CN"/>
              </w:rPr>
              <w:t>3</w:t>
            </w:r>
            <w:r>
              <w:rPr>
                <w:rFonts w:asciiTheme="minorHAnsi" w:hAnsiTheme="minorHAnsi" w:cstheme="minorBidi"/>
                <w:snapToGrid w:val="0"/>
                <w:color w:val="000000"/>
                <w:kern w:val="0"/>
                <w:lang w:eastAsia="zh-CN"/>
              </w:rPr>
              <w:t>、本合同实施过程中，所发生的一切税费及不可预见费均由中标供应商承担。</w:t>
            </w:r>
          </w:p>
        </w:tc>
      </w:tr>
    </w:tbl>
    <w:p>
      <w:pPr>
        <w:rPr>
          <w:b/>
        </w:rPr>
      </w:pPr>
    </w:p>
    <w:p>
      <w:pPr>
        <w:rPr>
          <w:b/>
        </w:rPr>
      </w:pPr>
    </w:p>
    <w:p>
      <w:r>
        <w:rPr>
          <w:b/>
        </w:rPr>
        <w:t>2.技术标准与要求</w:t>
      </w:r>
    </w:p>
    <w:tbl>
      <w:tblPr>
        <w:tblStyle w:val="5"/>
        <w:tblW w:w="831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426"/>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r>
              <w:t>参数性质</w:t>
            </w:r>
          </w:p>
        </w:tc>
        <w:tc>
          <w:tcPr>
            <w:tcW w:w="426" w:type="dxa"/>
          </w:tcPr>
          <w:p>
            <w:r>
              <w:t>序号</w:t>
            </w:r>
          </w:p>
        </w:tc>
        <w:tc>
          <w:tcPr>
            <w:tcW w:w="5814" w:type="dxa"/>
          </w:tcPr>
          <w:p>
            <w:r>
              <w:t>具体技术(参数)要求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7230" w:hRule="atLeast"/>
        </w:trPr>
        <w:tc>
          <w:tcPr>
            <w:tcW w:w="2076" w:type="dxa"/>
          </w:tcPr>
          <w:p>
            <w:pPr>
              <w:rPr>
                <w:rFonts w:ascii="微软雅黑" w:hAnsi="微软雅黑" w:eastAsia="微软雅黑" w:cs="微软雅黑"/>
                <w:spacing w:val="3"/>
                <w:sz w:val="19"/>
                <w:szCs w:val="19"/>
              </w:rPr>
            </w:pPr>
            <w:r>
              <w:rPr>
                <w:rFonts w:ascii="微软雅黑" w:hAnsi="微软雅黑" w:eastAsia="微软雅黑" w:cs="微软雅黑"/>
                <w:spacing w:val="3"/>
                <w:sz w:val="19"/>
                <w:szCs w:val="19"/>
              </w:rPr>
              <w:t>★</w:t>
            </w:r>
          </w:p>
        </w:tc>
        <w:tc>
          <w:tcPr>
            <w:tcW w:w="426" w:type="dxa"/>
          </w:tcPr>
          <w:p>
            <w:r>
              <w:rPr>
                <w:rFonts w:hint="eastAsia"/>
              </w:rPr>
              <w:t>1</w:t>
            </w:r>
          </w:p>
        </w:tc>
        <w:tc>
          <w:tcPr>
            <w:tcW w:w="5814" w:type="dxa"/>
          </w:tcPr>
          <w:p>
            <w:r>
              <w:rPr>
                <w:rFonts w:hint="eastAsia"/>
                <w:b/>
              </w:rPr>
              <w:t>一</w:t>
            </w:r>
            <w:r>
              <w:rPr>
                <w:b/>
              </w:rPr>
              <w:t>、</w:t>
            </w:r>
            <w:r>
              <w:rPr>
                <w:rFonts w:hint="eastAsia"/>
                <w:b/>
              </w:rPr>
              <w:t>服务</w:t>
            </w:r>
            <w:r>
              <w:rPr>
                <w:b/>
              </w:rPr>
              <w:t>要求</w:t>
            </w:r>
          </w:p>
          <w:p>
            <w:r>
              <w:t>1、投标供应商提供采购人所需中药饮片，并保证能满足日常的临床诊疗需要。投标供应商不得以任何借口（如无货，采购量少等）不执行医院药品采购计划，如无法执行时，需支付相关违约金。</w:t>
            </w:r>
          </w:p>
          <w:p>
            <w:r>
              <w:t>2、投标供应商应保证采购人提出采购计划后，在48小时内送至采购人指定地点并配合采购人完成上架工作，急需品种在</w:t>
            </w:r>
            <w:r>
              <w:rPr>
                <w:rFonts w:hint="eastAsia"/>
              </w:rPr>
              <w:t>24</w:t>
            </w:r>
            <w:r>
              <w:t>小时内送达并配合采购人完成上架工作。投标供应商在运输中药饮片过程中应有保证中药饮片质量的措施。运输费用、装卸费用等由中标供应商承担。供应商配送的中药饮片送达采购人指定地点后并配合采购人完成上架工作，待采购人相关人员验收无误后方可离开，对不符合合同约定或质量要求的，采购人有权拒绝签收。供应商必须保障供应，若必要保障品种存在一次供应不足或不及时（按品种算），采购人给予一次警告；供应商未按采购内容要求准时供货或备货不足造成科室投诉，经核实后，若投诉出现2次内（含2次），采购人给予一次警告；若警告超过2次者，视为情节严重，采购人给予供应商处罚当次采购药品款项的5%；若处罚超过3次，视为违约，采购人可单方解除合同。</w:t>
            </w:r>
          </w:p>
          <w:p>
            <w:r>
              <w:t>3、如供应商供应的中药饮片品种存在一次供应不足或不及时（按品种算），采购人给予一次警告的同时有权自行采购该品种，供应商不能对采购人提出任何异议或追讨赔偿。</w:t>
            </w:r>
          </w:p>
          <w:p>
            <w:r>
              <w:t>4、投标供应商提供的中药饮片的产地、规格、质量、价格、包装等均需符合相关条件。直接接触中药饮片包装的标签至少应当标注名称、中药饮片执行标准、规格、生产日期、产品批号、生产企业、生产地址、联系方式等内容。包装色标需符合国家中医药管理局规定的色标要求。</w:t>
            </w:r>
          </w:p>
          <w:p>
            <w:r>
              <w:t>5、投标供应商提供的中药饮片包装需要按照采购人所需包装规格提供。</w:t>
            </w:r>
          </w:p>
          <w:p>
            <w:r>
              <w:t>6、投标供应商应按照采购人要求，参照《中国药典》和临床用药习惯，应能提供满足采购人要求的多种规格品种；如果有特殊包装需求，需能够满足临床要求。</w:t>
            </w:r>
          </w:p>
          <w:p>
            <w:r>
              <w:t>7、中标供应商提供的全部中药饮片均应按国家规定的标准及保护措施进行包装，每一个包装箱内应附有一份详细装箱单。包装材料、标记和包装箱内外的单据应符合国家的有关要求。</w:t>
            </w:r>
          </w:p>
          <w:p>
            <w:r>
              <w:t>8、本项目所投中药饮片应当符合现行版《中华人民共和国药典》、《广东省中药炮制规范》、《广东省中药材标准》、各省中药材标准和炮制规范等要求，并满足采购人的用药习惯。</w:t>
            </w:r>
          </w:p>
          <w:p>
            <w:r>
              <w:t>9、应建立追溯系统，逐步实现中药饮片生产、流通和使用全过程来源可查、去向可追，确保发生质量安全风险的产品可召回、责任可追究。采购人有权随时对中药饮片的生产过程进行抽查检验或派出专人监督。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7230" w:hRule="atLeast"/>
        </w:trPr>
        <w:tc>
          <w:tcPr>
            <w:tcW w:w="2076" w:type="dxa"/>
          </w:tcPr>
          <w:p>
            <w:r>
              <w:rPr>
                <w:rFonts w:ascii="微软雅黑" w:hAnsi="微软雅黑" w:eastAsia="微软雅黑" w:cs="微软雅黑"/>
                <w:spacing w:val="3"/>
                <w:sz w:val="19"/>
                <w:szCs w:val="19"/>
              </w:rPr>
              <w:t>★</w:t>
            </w:r>
          </w:p>
        </w:tc>
        <w:tc>
          <w:tcPr>
            <w:tcW w:w="426" w:type="dxa"/>
          </w:tcPr>
          <w:p>
            <w:r>
              <w:rPr>
                <w:rFonts w:hint="eastAsia"/>
              </w:rPr>
              <w:t>2</w:t>
            </w:r>
          </w:p>
        </w:tc>
        <w:tc>
          <w:tcPr>
            <w:tcW w:w="5814" w:type="dxa"/>
          </w:tcPr>
          <w:p>
            <w:r>
              <w:rPr>
                <w:rFonts w:hint="eastAsia"/>
                <w:b/>
              </w:rPr>
              <w:t>二</w:t>
            </w:r>
            <w:r>
              <w:rPr>
                <w:b/>
              </w:rPr>
              <w:t>、中药饮片的质量要求</w:t>
            </w:r>
          </w:p>
          <w:p>
            <w:r>
              <w:t>1、生产企业制定有严格的内控药品标准（包括原料、各单元工艺环节物料、中药饮片成品检验标准及过程控制指标），投标供应商需提供相关证明材料以及药品质控方案以明确生产全过程质量控制的措施、关键质控点及相关质量要求，使作为初始原料的中药材、提取用原料的饮片等符合相关部门规定标准，保证中药饮片的质量。</w:t>
            </w:r>
          </w:p>
          <w:p>
            <w:r>
              <w:t>2、供应商提供的中药饮片能严格执行现行版《中华人民共和国药典》、《广东省中药炮制规范》、《广东省中药材标准》、各省中药材标准和炮制规范等的标准（若有最新文件，则以最新文件规定为准），中药饮片规格应符合国家中医药管理局等相关要求，能满足采购人的用药习惯。</w:t>
            </w:r>
          </w:p>
          <w:p>
            <w:r>
              <w:t>3、生产企业须有符合中药传统用药习惯的炮制生产线，有完善的炮制生产工艺，提供的炮制品种数量丰富，提供的炮制品种生产工艺规程完善详实，生产记录完整规范。</w:t>
            </w:r>
          </w:p>
          <w:p>
            <w:r>
              <w:t>4、投标供应商与采购人签订“质量保证协议书”，并向采购人提供每一批中药饮片的质检报告。</w:t>
            </w:r>
          </w:p>
          <w:p>
            <w:r>
              <w:t>5、中药饮片的有效期应符合采购人药品入库验收标准，以保证药品质量。</w:t>
            </w:r>
          </w:p>
          <w:p>
            <w:r>
              <w:t>6、产地要求：投标供应商需制定严格的产品质量标准控制体系，确保药材来源稳定可靠。</w:t>
            </w:r>
          </w:p>
          <w:p>
            <w:r>
              <w:t>7、国药准字号的中药饮片需要提供相关国药准字号文件，特殊类的中药饮片需提供相关资质文件。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6238" w:hRule="atLeast"/>
        </w:trPr>
        <w:tc>
          <w:tcPr>
            <w:tcW w:w="2076" w:type="dxa"/>
          </w:tcPr>
          <w:p>
            <w:r>
              <w:rPr>
                <w:rFonts w:ascii="Microsoft JhengHei" w:hAnsi="Microsoft JhengHei" w:eastAsia="Microsoft JhengHei" w:cs="Microsoft JhengHei"/>
                <w:sz w:val="19"/>
                <w:szCs w:val="19"/>
              </w:rPr>
              <w:t>▲</w:t>
            </w:r>
          </w:p>
        </w:tc>
        <w:tc>
          <w:tcPr>
            <w:tcW w:w="426" w:type="dxa"/>
          </w:tcPr>
          <w:p>
            <w:r>
              <w:rPr>
                <w:rFonts w:hint="eastAsia"/>
              </w:rPr>
              <w:t>3</w:t>
            </w:r>
          </w:p>
        </w:tc>
        <w:tc>
          <w:tcPr>
            <w:tcW w:w="5814" w:type="dxa"/>
          </w:tcPr>
          <w:p>
            <w:r>
              <w:rPr>
                <w:rFonts w:hint="eastAsia"/>
                <w:b/>
              </w:rPr>
              <w:t>三</w:t>
            </w:r>
            <w:r>
              <w:rPr>
                <w:b/>
              </w:rPr>
              <w:t>、其他要求</w:t>
            </w:r>
          </w:p>
          <w:p>
            <w:r>
              <w:t>1、投标供应商应当按项目需求如实进行报价，杜绝弄虚作假，胡乱报价。</w:t>
            </w:r>
          </w:p>
          <w:p>
            <w:r>
              <w:t>2、项目严禁各投标供应商进行恶意串通、恶意竞争或其它违规行为，一经查实将按照法规相关规定处理。</w:t>
            </w:r>
          </w:p>
          <w:p>
            <w:r>
              <w:t>3、如遇特殊情况时，投标供应商需确保对采购人的供应服务不受影响。</w:t>
            </w:r>
          </w:p>
          <w:p>
            <w:r>
              <w:t>4、中标供应商中标后须及时与采购人签订合同、采购廉洁协议、质量保证协议等，并严格履行。</w:t>
            </w:r>
          </w:p>
          <w:p>
            <w:r>
              <w:t>5、双方签订合同后，服务期内中标供应商应及时进行供应服务。</w:t>
            </w:r>
          </w:p>
          <w:p>
            <w:r>
              <w:t>6、中标供应商所投药品出现虫蛀、霉变，包装中药饮片出现空包、封口不严，未按中标规格装量包装或装量不符合要求等质量问题，中标供应商须在1天内为采购人更换合格品，并且中标供应商须承担由此发生的一切费用和相应的违约责任。退换或由此引发的患者投诉由中标供应商负责。如超过3次（含）出现此类情况，视同严重违约并追究相关责任。</w:t>
            </w:r>
          </w:p>
          <w:p>
            <w:r>
              <w:t>7、中标供应商保证所供应的中药饮片二氧化硫含量、农药残留、重金属的含量符合相关规定（每批次随货附质量报告单复印件或电子文件），如违反相关规定，视同严重违约并追究相关责任。经药品检验部门检测属实或遭电视、网络等媒体曝光的，由此造成的一切经济及法律责任由中标供应商负责。</w:t>
            </w:r>
          </w:p>
          <w:p>
            <w:r>
              <w:t>8、因中药饮片质量问题引起医疗事故或纠纷或被相关监管部门处罚的，视同严重违约并追究相关责任，同时由此造成的一切经济及法律责任由中标供应商负责。</w:t>
            </w:r>
          </w:p>
          <w:p>
            <w:r>
              <w:t>9、中标供应商所提供的中药饮片以符合国家规定的质量标准为首选，并无条件满足采购人的质量需求。如果采购人在临床使用中发现中药饮片不符合质量要求（含出现严重的不良反应时），需要进行质量检验，则由采购人委托采购人所在地药检部门进行质量检验，并及时以书面形式把需质量检验的中药饮片的情况通知中标供应商，检验费用由中标供应商承担，如果确实存在质量问题则中标供应商还需承担因此产生的经济和法律责任；并且中标供应商应在1天内对存在质量问题的中药饮片进行更换、补充，并不得影响采购人的临床用药。否则，采购人有权终止合同并要求中标供应商赔偿损失。</w:t>
            </w:r>
          </w:p>
          <w:p>
            <w:r>
              <w:t>10、对于滞销产品，中标供应商须承诺可无条件退换。</w:t>
            </w:r>
          </w:p>
          <w:p>
            <w:r>
              <w:t>11、当发生如下情况时，中标供应商须根据采购人要求无条件免费退换货：（1）采购人发现饮片供应质量问题；（2）采购人发现产品未按要求进行包装；（3）药监部门发布需召回或厂家自主召回品种；（4）其他：采购人认为有问题的情况。</w:t>
            </w:r>
          </w:p>
          <w:p>
            <w:r>
              <w:t>12、供应商提供的中药饮片若在验收人员抽检中发现有质量问题，给予警告并进行退换货处理；发现质量问题达3次者，视为情节严重，采购人给予供应商处罚当次采购药品款项的20%；处罚超过3次，视为违约，采购人可单方解除合同，一切后果均由供应商负责。</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trHeight w:val="80" w:hRule="atLeast"/>
        </w:trPr>
        <w:tc>
          <w:tcPr>
            <w:tcW w:w="2076" w:type="dxa"/>
          </w:tcPr>
          <w:p>
            <w:r>
              <w:rPr>
                <w:rFonts w:ascii="Microsoft JhengHei" w:hAnsi="Microsoft JhengHei" w:eastAsia="Microsoft JhengHei" w:cs="Microsoft JhengHei"/>
                <w:sz w:val="19"/>
                <w:szCs w:val="19"/>
              </w:rPr>
              <w:t>▲</w:t>
            </w:r>
          </w:p>
        </w:tc>
        <w:tc>
          <w:tcPr>
            <w:tcW w:w="426" w:type="dxa"/>
          </w:tcPr>
          <w:p>
            <w:r>
              <w:rPr>
                <w:rFonts w:hint="eastAsia"/>
              </w:rPr>
              <w:t>4</w:t>
            </w:r>
          </w:p>
        </w:tc>
        <w:tc>
          <w:tcPr>
            <w:tcW w:w="5814" w:type="dxa"/>
          </w:tcPr>
          <w:p>
            <w:r>
              <w:rPr>
                <w:rFonts w:hint="eastAsia"/>
                <w:b/>
              </w:rPr>
              <w:t>四</w:t>
            </w:r>
            <w:r>
              <w:rPr>
                <w:b/>
              </w:rPr>
              <w:t>、售后服务要求</w:t>
            </w:r>
          </w:p>
          <w:p>
            <w:r>
              <w:t>1、中标供应商应按照国家有关法律、法规、规章和“三包”规定提供售后服务。售后服务及质保条件等不得低于国家和行业主管部门制定的有关标准。</w:t>
            </w:r>
          </w:p>
          <w:p>
            <w:pPr>
              <w:rPr>
                <w:b/>
              </w:rPr>
            </w:pPr>
            <w:r>
              <w:t>2、中标供应商须具有相关技术人员，中标供应商接到采购人售后咨询应在2小时内有专人答复，若需要现场解决应安排专人24小时内到达，售后服务方式均为中标供应商上门服务。</w:t>
            </w:r>
          </w:p>
        </w:tc>
      </w:tr>
    </w:tbl>
    <w:p>
      <w:bookmarkStart w:id="0" w:name="_GoBack"/>
      <w:bookmarkEnd w:id="0"/>
    </w:p>
    <w:sectPr>
      <w:pgSz w:w="11906" w:h="16838"/>
      <w:pgMar w:top="1440" w:right="1800" w:bottom="1276"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5D8"/>
    <w:rsid w:val="0019512D"/>
    <w:rsid w:val="00241993"/>
    <w:rsid w:val="002D3694"/>
    <w:rsid w:val="002E4580"/>
    <w:rsid w:val="00341036"/>
    <w:rsid w:val="00427F35"/>
    <w:rsid w:val="00467D50"/>
    <w:rsid w:val="005D39CB"/>
    <w:rsid w:val="00745F61"/>
    <w:rsid w:val="007F1C18"/>
    <w:rsid w:val="0080212B"/>
    <w:rsid w:val="008930BD"/>
    <w:rsid w:val="008B60CF"/>
    <w:rsid w:val="00910538"/>
    <w:rsid w:val="009710F9"/>
    <w:rsid w:val="00A85587"/>
    <w:rsid w:val="00AC1808"/>
    <w:rsid w:val="00AF2ABF"/>
    <w:rsid w:val="00BC45D8"/>
    <w:rsid w:val="00D27C49"/>
    <w:rsid w:val="00DD0484"/>
    <w:rsid w:val="00DD51DC"/>
    <w:rsid w:val="00FF3983"/>
    <w:rsid w:val="335D2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10"/>
    <w:semiHidden/>
    <w:qFormat/>
    <w:uiPriority w:val="0"/>
    <w:pPr>
      <w:widowControl/>
      <w:kinsoku w:val="0"/>
      <w:autoSpaceDE w:val="0"/>
      <w:autoSpaceDN w:val="0"/>
      <w:adjustRightInd w:val="0"/>
      <w:snapToGrid w:val="0"/>
      <w:jc w:val="left"/>
      <w:textAlignment w:val="baseline"/>
    </w:pPr>
    <w:rPr>
      <w:rFonts w:ascii="宋体" w:hAnsi="宋体" w:eastAsia="宋体" w:cs="宋体"/>
      <w:snapToGrid w:val="0"/>
      <w:color w:val="000000"/>
      <w:kern w:val="0"/>
      <w:sz w:val="74"/>
      <w:szCs w:val="74"/>
      <w:lang w:eastAsia="en-US"/>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 w:type="character" w:customStyle="1" w:styleId="10">
    <w:name w:val="正文文本 Char"/>
    <w:basedOn w:val="6"/>
    <w:link w:val="2"/>
    <w:semiHidden/>
    <w:uiPriority w:val="0"/>
    <w:rPr>
      <w:rFonts w:ascii="宋体" w:hAnsi="宋体" w:eastAsia="宋体" w:cs="宋体"/>
      <w:snapToGrid w:val="0"/>
      <w:color w:val="000000"/>
      <w:kern w:val="0"/>
      <w:sz w:val="74"/>
      <w:szCs w:val="74"/>
      <w:lang w:eastAsia="en-US"/>
    </w:rPr>
  </w:style>
  <w:style w:type="table" w:customStyle="1" w:styleId="11">
    <w:name w:val="Table Normal"/>
    <w:semiHidden/>
    <w:unhideWhenUsed/>
    <w:qFormat/>
    <w:uiPriority w:val="0"/>
    <w:rPr>
      <w:rFonts w:ascii="Arial" w:hAnsi="Arial" w:cs="Arial"/>
      <w:snapToGrid w:val="0"/>
      <w:color w:val="000000"/>
      <w:kern w:val="0"/>
      <w:szCs w:val="21"/>
      <w:lang w:eastAsia="en-US"/>
    </w:rPr>
    <w:tblPr>
      <w:tblLayout w:type="fixed"/>
      <w:tblCellMar>
        <w:top w:w="0" w:type="dxa"/>
        <w:left w:w="0" w:type="dxa"/>
        <w:bottom w:w="0" w:type="dxa"/>
        <w:right w:w="0" w:type="dxa"/>
      </w:tblCellMar>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1008</Words>
  <Characters>5752</Characters>
  <Lines>47</Lines>
  <Paragraphs>13</Paragraphs>
  <TotalTime>152</TotalTime>
  <ScaleCrop>false</ScaleCrop>
  <LinksUpToDate>false</LinksUpToDate>
  <CharactersWithSpaces>6747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2025-02-12T02:53:00Z</dcterms:created>
  <dc:creator>微软用户</dc:creator>
  <cp:lastModifiedBy>zzc</cp:lastModifiedBy>
  <dcterms:modified xsi:type="dcterms:W3CDTF">2025-06-09T01:31:16Z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