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pPr>
    </w:p>
    <w:p>
      <w:pPr>
        <w:pStyle w:val="11"/>
        <w:spacing w:before="1540" w:after="240"/>
        <w:jc w:val="center"/>
      </w:pPr>
    </w:p>
    <w:p>
      <w:pPr>
        <w:pStyle w:val="11"/>
        <w:spacing w:before="1540" w:after="240"/>
        <w:jc w:val="center"/>
        <w:rPr>
          <w:color w:val="4472C4"/>
        </w:rPr>
      </w:pPr>
      <w:r>
        <w:rPr>
          <w:color w:val="4472C4"/>
        </w:rPr>
        <w:drawing>
          <wp:inline distT="0" distB="0" distL="0" distR="0">
            <wp:extent cx="1424305" cy="757555"/>
            <wp:effectExtent l="0" t="0" r="4445" b="4445"/>
            <wp:docPr id="1"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3"/>
                    <pic:cNvPicPr>
                      <a:picLocks noChangeAspect="1"/>
                    </pic:cNvPicPr>
                  </pic:nvPicPr>
                  <pic:blipFill>
                    <a:blip r:embed="rId5" cstate="print">
                      <a:duotone>
                        <a:schemeClr val="accent1">
                          <a:shade val="45000"/>
                          <a:satMod val="135000"/>
                        </a:schemeClr>
                        <a:prstClr val="white"/>
                      </a:duotone>
                    </a:blip>
                    <a:stretch>
                      <a:fillRect/>
                    </a:stretch>
                  </pic:blipFill>
                  <pic:spPr>
                    <a:xfrm>
                      <a:off x="0" y="0"/>
                      <a:ext cx="1424305" cy="757555"/>
                    </a:xfrm>
                    <a:prstGeom prst="rect">
                      <a:avLst/>
                    </a:prstGeom>
                    <a:noFill/>
                    <a:ln>
                      <a:noFill/>
                    </a:ln>
                  </pic:spPr>
                </pic:pic>
              </a:graphicData>
            </a:graphic>
          </wp:inline>
        </w:drawing>
      </w:r>
    </w:p>
    <w:p>
      <w:pPr>
        <w:pStyle w:val="11"/>
        <w:pBdr>
          <w:top w:val="single" w:color="4472C4" w:sz="6" w:space="6"/>
          <w:bottom w:val="single" w:color="4472C4" w:sz="6" w:space="6"/>
        </w:pBdr>
        <w:spacing w:after="240"/>
        <w:jc w:val="center"/>
        <w:rPr>
          <w:rFonts w:hint="eastAsia" w:ascii="宋体" w:hAnsi="宋体"/>
          <w:caps/>
          <w:color w:val="000000"/>
          <w:sz w:val="52"/>
          <w:szCs w:val="52"/>
        </w:rPr>
      </w:pPr>
      <w:r>
        <w:rPr>
          <w:rFonts w:hint="eastAsia" w:ascii="宋体" w:hAnsi="宋体"/>
          <w:caps/>
          <w:color w:val="000000"/>
          <w:sz w:val="52"/>
          <w:szCs w:val="52"/>
        </w:rPr>
        <w:t>数字影像（云胶片）服务系统</w:t>
      </w:r>
    </w:p>
    <w:p>
      <w:pPr>
        <w:pStyle w:val="11"/>
        <w:pBdr>
          <w:top w:val="single" w:color="4472C4" w:sz="6" w:space="6"/>
          <w:bottom w:val="single" w:color="4472C4" w:sz="6" w:space="6"/>
        </w:pBdr>
        <w:spacing w:after="240"/>
        <w:jc w:val="center"/>
        <w:rPr>
          <w:rFonts w:hint="eastAsia" w:ascii="宋体" w:hAnsi="宋体"/>
          <w:caps/>
          <w:color w:val="000000"/>
          <w:sz w:val="52"/>
          <w:szCs w:val="52"/>
        </w:rPr>
      </w:pPr>
      <w:r>
        <w:rPr>
          <w:rFonts w:hint="eastAsia" w:ascii="宋体" w:hAnsi="宋体"/>
          <w:caps/>
          <w:color w:val="000000"/>
          <w:sz w:val="52"/>
          <w:szCs w:val="52"/>
        </w:rPr>
        <w:t>项目需求书</w:t>
      </w:r>
    </w:p>
    <w:p>
      <w:pPr>
        <w:pStyle w:val="11"/>
        <w:spacing w:before="480"/>
        <w:jc w:val="center"/>
        <w:rPr>
          <w:color w:val="4472C4"/>
        </w:rPr>
      </w:pPr>
      <w:r>
        <w:rPr>
          <w:color w:val="4472C4"/>
        </w:rPr>
        <w:drawing>
          <wp:inline distT="0" distB="0" distL="0" distR="0">
            <wp:extent cx="757555" cy="487680"/>
            <wp:effectExtent l="0" t="0" r="4445" b="7620"/>
            <wp:docPr id="2"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4"/>
                    <pic:cNvPicPr>
                      <a:picLocks noChangeAspect="1"/>
                    </pic:cNvPicPr>
                  </pic:nvPicPr>
                  <pic:blipFill>
                    <a:blip r:embed="rId6" cstate="print">
                      <a:duotone>
                        <a:schemeClr val="accent1">
                          <a:shade val="45000"/>
                          <a:satMod val="135000"/>
                        </a:schemeClr>
                        <a:prstClr val="white"/>
                      </a:duotone>
                    </a:blip>
                    <a:stretch>
                      <a:fillRect/>
                    </a:stretch>
                  </pic:blipFill>
                  <pic:spPr>
                    <a:xfrm>
                      <a:off x="0" y="0"/>
                      <a:ext cx="757555" cy="487680"/>
                    </a:xfrm>
                    <a:prstGeom prst="rect">
                      <a:avLst/>
                    </a:prstGeom>
                  </pic:spPr>
                </pic:pic>
              </a:graphicData>
            </a:graphic>
          </wp:inline>
        </w:drawing>
      </w:r>
    </w:p>
    <w:p>
      <w:pPr>
        <w:pStyle w:val="11"/>
        <w:spacing w:before="1540" w:after="240"/>
        <w:jc w:val="center"/>
      </w:pPr>
      <w:r>
        <w:br w:type="page"/>
      </w:r>
    </w:p>
    <w:p>
      <w:pPr>
        <w:rPr>
          <w:rFonts w:hint="eastAsia"/>
        </w:rPr>
      </w:pPr>
    </w:p>
    <w:p>
      <w:pPr>
        <w:pStyle w:val="2"/>
      </w:pPr>
      <w:r>
        <w:rPr>
          <w:rFonts w:hint="eastAsia"/>
        </w:rPr>
        <w:t>项目名称及背景</w:t>
      </w:r>
    </w:p>
    <w:p>
      <w:pPr>
        <w:ind w:firstLine="480" w:firstLineChars="200"/>
        <w:rPr>
          <w:rFonts w:hint="eastAsia"/>
        </w:rPr>
      </w:pPr>
      <w:r>
        <w:rPr>
          <w:rFonts w:hint="eastAsia"/>
        </w:rPr>
        <w:t>项目名称：数字影像（云胶片）服务系统。</w:t>
      </w:r>
    </w:p>
    <w:p>
      <w:pPr>
        <w:ind w:firstLine="480" w:firstLineChars="200"/>
        <w:rPr>
          <w:rFonts w:hint="eastAsia"/>
        </w:rPr>
      </w:pPr>
    </w:p>
    <w:p>
      <w:pPr>
        <w:ind w:firstLine="480" w:firstLineChars="200"/>
        <w:rPr>
          <w:rFonts w:hint="eastAsia"/>
        </w:rPr>
      </w:pPr>
      <w:r>
        <w:rPr>
          <w:rFonts w:hint="eastAsia"/>
        </w:rPr>
        <w:t>项目背景：</w:t>
      </w:r>
    </w:p>
    <w:p>
      <w:pPr>
        <w:ind w:firstLine="480" w:firstLineChars="200"/>
        <w:rPr>
          <w:rFonts w:hint="eastAsia"/>
        </w:rPr>
      </w:pPr>
      <w:r>
        <w:rPr>
          <w:rFonts w:hint="eastAsia"/>
        </w:rPr>
        <w:t>为进一步推进无纸化、无胶片化，积极响应国家及我省“互联网+医疗健康”服务相关政策和《广东省医疗保障局关于公布放射检查类医疗服务价格项目的通知》文件相关精神，拟在医院PACS影像系统建设基础上，拓展医学影像云胶片应用服务。 通过影像云归档服务、全流程管理和自助打印服务等，“让数据多跑路、百姓少跑腿”。 数字影像服务（云胶片应用）上线后，可以让医院的胶片用量大幅度的减少，既可以节省胶片费用，降低耗材占比，又可以优化医疗服务流程，提高医院形象，提升患者满意度。</w:t>
      </w:r>
    </w:p>
    <w:p>
      <w:pPr>
        <w:pStyle w:val="2"/>
      </w:pPr>
      <w:r>
        <w:rPr>
          <w:rFonts w:hint="eastAsia"/>
        </w:rPr>
        <w:t>项目的主要内容</w:t>
      </w:r>
    </w:p>
    <w:tbl>
      <w:tblPr>
        <w:tblStyle w:val="8"/>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5"/>
        <w:gridCol w:w="511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blHeader/>
        </w:trPr>
        <w:tc>
          <w:tcPr>
            <w:tcW w:w="851" w:type="dxa"/>
            <w:shd w:val="clear" w:color="auto" w:fill="F2F2F2"/>
            <w:vAlign w:val="center"/>
          </w:tcPr>
          <w:p>
            <w:pPr>
              <w:pStyle w:val="12"/>
              <w:jc w:val="center"/>
              <w:rPr>
                <w:b/>
                <w:bCs w:val="0"/>
              </w:rPr>
            </w:pPr>
            <w:r>
              <w:rPr>
                <w:rFonts w:hint="eastAsia"/>
                <w:b/>
                <w:bCs w:val="0"/>
              </w:rPr>
              <w:t>序号</w:t>
            </w:r>
          </w:p>
        </w:tc>
        <w:tc>
          <w:tcPr>
            <w:tcW w:w="1705" w:type="dxa"/>
            <w:shd w:val="clear" w:color="auto" w:fill="F2F2F2"/>
            <w:vAlign w:val="center"/>
          </w:tcPr>
          <w:p>
            <w:pPr>
              <w:pStyle w:val="12"/>
              <w:jc w:val="center"/>
              <w:rPr>
                <w:b/>
                <w:bCs w:val="0"/>
              </w:rPr>
            </w:pPr>
            <w:r>
              <w:rPr>
                <w:rFonts w:hint="eastAsia"/>
                <w:b/>
                <w:bCs w:val="0"/>
              </w:rPr>
              <w:t>建设系统</w:t>
            </w:r>
          </w:p>
        </w:tc>
        <w:tc>
          <w:tcPr>
            <w:tcW w:w="5116" w:type="dxa"/>
            <w:shd w:val="clear" w:color="auto" w:fill="F2F2F2"/>
            <w:vAlign w:val="center"/>
          </w:tcPr>
          <w:p>
            <w:pPr>
              <w:pStyle w:val="12"/>
              <w:jc w:val="center"/>
              <w:rPr>
                <w:b/>
                <w:bCs w:val="0"/>
              </w:rPr>
            </w:pPr>
            <w:r>
              <w:rPr>
                <w:rFonts w:hint="eastAsia"/>
                <w:b/>
                <w:bCs w:val="0"/>
              </w:rPr>
              <w:t>建设内容及说明</w:t>
            </w:r>
          </w:p>
        </w:tc>
        <w:tc>
          <w:tcPr>
            <w:tcW w:w="851" w:type="dxa"/>
            <w:shd w:val="clear" w:color="auto" w:fill="F2F2F2"/>
            <w:vAlign w:val="center"/>
          </w:tcPr>
          <w:p>
            <w:pPr>
              <w:pStyle w:val="12"/>
              <w:jc w:val="center"/>
              <w:rPr>
                <w:b/>
                <w:bCs w:val="0"/>
              </w:rPr>
            </w:pPr>
            <w:r>
              <w:rPr>
                <w:rFonts w:hint="eastAsia"/>
                <w:b/>
                <w:bCs w:val="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851" w:type="dxa"/>
            <w:shd w:val="clear" w:color="auto" w:fill="auto"/>
            <w:vAlign w:val="center"/>
          </w:tcPr>
          <w:p>
            <w:pPr>
              <w:pStyle w:val="12"/>
              <w:jc w:val="center"/>
            </w:pPr>
            <w:r>
              <w:rPr>
                <w:rFonts w:hint="eastAsia"/>
              </w:rPr>
              <w:t>1</w:t>
            </w:r>
          </w:p>
        </w:tc>
        <w:tc>
          <w:tcPr>
            <w:tcW w:w="1705" w:type="dxa"/>
            <w:shd w:val="clear" w:color="auto" w:fill="auto"/>
            <w:vAlign w:val="center"/>
          </w:tcPr>
          <w:p>
            <w:pPr>
              <w:pStyle w:val="12"/>
              <w:jc w:val="center"/>
            </w:pPr>
            <w:r>
              <w:rPr>
                <w:rFonts w:hint="eastAsia"/>
              </w:rPr>
              <w:t>数字影像（云胶片）服务系统</w:t>
            </w:r>
          </w:p>
        </w:tc>
        <w:tc>
          <w:tcPr>
            <w:tcW w:w="5116" w:type="dxa"/>
            <w:vAlign w:val="center"/>
          </w:tcPr>
          <w:p>
            <w:pPr>
              <w:pStyle w:val="12"/>
              <w:jc w:val="center"/>
            </w:pPr>
            <w:r>
              <w:rPr>
                <w:rFonts w:hint="eastAsia"/>
              </w:rPr>
              <w:t>详见附件《项目建设主要内容及要求》</w:t>
            </w:r>
          </w:p>
        </w:tc>
        <w:tc>
          <w:tcPr>
            <w:tcW w:w="851" w:type="dxa"/>
            <w:shd w:val="clear" w:color="auto" w:fill="auto"/>
            <w:vAlign w:val="center"/>
          </w:tcPr>
          <w:p>
            <w:pPr>
              <w:pStyle w:val="12"/>
              <w:jc w:val="center"/>
            </w:pPr>
            <w:r>
              <w:rPr>
                <w:rFonts w:hint="eastAsia"/>
              </w:rPr>
              <w:t>1套</w:t>
            </w:r>
          </w:p>
        </w:tc>
      </w:tr>
    </w:tbl>
    <w:p>
      <w:pPr>
        <w:pStyle w:val="2"/>
      </w:pPr>
      <w:r>
        <w:rPr>
          <w:rFonts w:hint="eastAsia"/>
        </w:rPr>
        <w:t>项目标的主要内容及要求</w:t>
      </w:r>
    </w:p>
    <w:p>
      <w:pPr>
        <w:ind w:firstLine="480" w:firstLineChars="200"/>
        <w:rPr>
          <w:rFonts w:hint="eastAsia"/>
        </w:rPr>
      </w:pPr>
      <w:r>
        <w:rPr>
          <w:rFonts w:hint="eastAsia"/>
        </w:rPr>
        <w:t>详见附件《项目建设主要内容及要求》。</w:t>
      </w:r>
    </w:p>
    <w:p>
      <w:pPr>
        <w:pStyle w:val="2"/>
      </w:pPr>
      <w:r>
        <w:rPr>
          <w:rFonts w:hint="eastAsia"/>
        </w:rPr>
        <w:t>项目预算金额</w:t>
      </w:r>
    </w:p>
    <w:p>
      <w:pPr>
        <w:ind w:firstLine="480" w:firstLineChars="200"/>
        <w:rPr>
          <w:rFonts w:hint="eastAsia"/>
        </w:rPr>
      </w:pPr>
      <w:r>
        <w:rPr>
          <w:rFonts w:hint="eastAsia"/>
        </w:rPr>
        <w:t xml:space="preserve"> </w:t>
      </w:r>
      <w:r>
        <w:rPr>
          <w:u w:val="single"/>
        </w:rPr>
        <w:t>￥</w:t>
      </w:r>
      <w:r>
        <w:rPr>
          <w:rFonts w:hint="eastAsia"/>
          <w:szCs w:val="24"/>
          <w:u w:val="single"/>
        </w:rPr>
        <w:t>500,000.</w:t>
      </w:r>
      <w:r>
        <w:rPr>
          <w:szCs w:val="24"/>
          <w:u w:val="single"/>
        </w:rPr>
        <w:t>00</w:t>
      </w:r>
      <w:r>
        <w:t>元（大写：人民币</w:t>
      </w:r>
      <w:r>
        <w:rPr>
          <w:rFonts w:hint="eastAsia"/>
          <w:u w:val="single"/>
        </w:rPr>
        <w:t>伍拾万</w:t>
      </w:r>
      <w:r>
        <w:t>元整）</w:t>
      </w:r>
      <w:r>
        <w:rPr>
          <w:rFonts w:hint="eastAsia"/>
        </w:rPr>
        <w:t>。</w:t>
      </w:r>
    </w:p>
    <w:p>
      <w:pPr>
        <w:pStyle w:val="2"/>
      </w:pPr>
      <w:r>
        <w:rPr>
          <w:rFonts w:hint="eastAsia"/>
        </w:rPr>
        <w:t>付款方式</w:t>
      </w:r>
    </w:p>
    <w:p>
      <w:pPr>
        <w:numPr>
          <w:ilvl w:val="0"/>
          <w:numId w:val="2"/>
        </w:numPr>
        <w:rPr>
          <w:rFonts w:hint="eastAsia"/>
        </w:rPr>
      </w:pPr>
      <w:r>
        <w:t>合同签署后，甲方自收到乙方有效发票之日起</w:t>
      </w:r>
      <w:r>
        <w:rPr>
          <w:rFonts w:hint="eastAsia"/>
        </w:rPr>
        <w:t>30</w:t>
      </w:r>
      <w:r>
        <w:t>个工作日内向乙方支付</w:t>
      </w:r>
      <w:r>
        <w:rPr>
          <w:rFonts w:hint="eastAsia"/>
        </w:rPr>
        <w:t>项目</w:t>
      </w:r>
      <w:r>
        <w:t>总金额的</w:t>
      </w:r>
      <w:r>
        <w:rPr>
          <w:rFonts w:hint="eastAsia"/>
        </w:rPr>
        <w:t>3</w:t>
      </w:r>
      <w:r>
        <w:rPr>
          <w:u w:val="single"/>
        </w:rPr>
        <w:t>0%</w:t>
      </w:r>
      <w:r>
        <w:t>。</w:t>
      </w:r>
    </w:p>
    <w:p>
      <w:pPr>
        <w:numPr>
          <w:ilvl w:val="0"/>
          <w:numId w:val="2"/>
        </w:numPr>
        <w:rPr>
          <w:rFonts w:hint="eastAsia"/>
        </w:rPr>
      </w:pPr>
      <w:r>
        <w:t>系统上线并签署上线确认单后，甲方自收到乙方有效发票之日起</w:t>
      </w:r>
      <w:r>
        <w:rPr>
          <w:rFonts w:hint="eastAsia"/>
        </w:rPr>
        <w:t>30</w:t>
      </w:r>
      <w:r>
        <w:t>个工作日内向乙方支付</w:t>
      </w:r>
      <w:r>
        <w:rPr>
          <w:rFonts w:hint="eastAsia"/>
        </w:rPr>
        <w:t>项目</w:t>
      </w:r>
      <w:r>
        <w:t>总金额的</w:t>
      </w:r>
      <w:r>
        <w:rPr>
          <w:rFonts w:hint="eastAsia"/>
        </w:rPr>
        <w:t>6</w:t>
      </w:r>
      <w:r>
        <w:rPr>
          <w:u w:val="single"/>
        </w:rPr>
        <w:t>0%</w:t>
      </w:r>
      <w:r>
        <w:t>。</w:t>
      </w:r>
    </w:p>
    <w:p>
      <w:pPr>
        <w:numPr>
          <w:ilvl w:val="0"/>
          <w:numId w:val="2"/>
        </w:numPr>
        <w:rPr>
          <w:rFonts w:hint="eastAsia"/>
        </w:rPr>
      </w:pPr>
      <w:r>
        <w:rPr>
          <w:rFonts w:hint="eastAsia"/>
        </w:rPr>
        <w:t>系统验收合格后，甲方自收到乙方有效发票之日起30</w:t>
      </w:r>
      <w:r>
        <w:t>个工作日内向乙方支付</w:t>
      </w:r>
      <w:r>
        <w:rPr>
          <w:rFonts w:hint="eastAsia"/>
        </w:rPr>
        <w:t>项目</w:t>
      </w:r>
      <w:r>
        <w:t>总金额的</w:t>
      </w:r>
      <w:r>
        <w:rPr>
          <w:rFonts w:hint="eastAsia"/>
        </w:rPr>
        <w:t>1</w:t>
      </w:r>
      <w:r>
        <w:rPr>
          <w:u w:val="single"/>
        </w:rPr>
        <w:t>0%</w:t>
      </w:r>
      <w:r>
        <w:t>。</w:t>
      </w:r>
    </w:p>
    <w:p>
      <w:pPr>
        <w:pStyle w:val="2"/>
      </w:pPr>
      <w:r>
        <w:rPr>
          <w:rFonts w:hint="eastAsia"/>
        </w:rPr>
        <w:t>服务地点及交付期</w:t>
      </w:r>
    </w:p>
    <w:p>
      <w:pPr>
        <w:numPr>
          <w:ilvl w:val="0"/>
          <w:numId w:val="3"/>
        </w:numPr>
        <w:rPr>
          <w:rFonts w:hint="eastAsia"/>
        </w:rPr>
      </w:pPr>
      <w:r>
        <w:t>服务地点：</w:t>
      </w:r>
      <w:r>
        <w:rPr>
          <w:rFonts w:hint="eastAsia"/>
        </w:rPr>
        <w:t>佛山市</w:t>
      </w:r>
      <w:r>
        <w:t>第二人民医院。</w:t>
      </w:r>
    </w:p>
    <w:p>
      <w:pPr>
        <w:numPr>
          <w:ilvl w:val="0"/>
          <w:numId w:val="3"/>
        </w:numPr>
        <w:rPr>
          <w:rFonts w:hint="eastAsia"/>
        </w:rPr>
      </w:pPr>
      <w:r>
        <w:rPr>
          <w:rFonts w:hint="eastAsia"/>
        </w:rPr>
        <w:t>交付</w:t>
      </w:r>
      <w:r>
        <w:t>期：</w:t>
      </w:r>
    </w:p>
    <w:p>
      <w:pPr>
        <w:ind w:left="480"/>
        <w:rPr>
          <w:rFonts w:hint="eastAsia"/>
        </w:rPr>
      </w:pPr>
      <w:r>
        <w:t>合同签订之日起</w:t>
      </w:r>
      <w:r>
        <w:rPr>
          <w:rFonts w:hint="eastAsia"/>
          <w:u w:val="single"/>
        </w:rPr>
        <w:t xml:space="preserve"> 30 </w:t>
      </w:r>
      <w:r>
        <w:rPr>
          <w:rFonts w:hint="eastAsia"/>
        </w:rPr>
        <w:t>个自然天</w:t>
      </w:r>
      <w:r>
        <w:t>。</w:t>
      </w:r>
    </w:p>
    <w:p>
      <w:pPr>
        <w:pStyle w:val="2"/>
      </w:pPr>
      <w:r>
        <w:rPr>
          <w:rFonts w:hint="eastAsia"/>
        </w:rPr>
        <w:t>验收标准与要求</w:t>
      </w:r>
    </w:p>
    <w:p>
      <w:pPr>
        <w:numPr>
          <w:ilvl w:val="0"/>
          <w:numId w:val="4"/>
        </w:numPr>
        <w:rPr>
          <w:rFonts w:hint="eastAsia"/>
        </w:rPr>
      </w:pPr>
      <w:r>
        <w:t>验收标准：验收的主要依据包括招标需求书、投标文件、合同文件，以及用户需求说明书和设计方案。</w:t>
      </w:r>
    </w:p>
    <w:p>
      <w:pPr>
        <w:numPr>
          <w:ilvl w:val="0"/>
          <w:numId w:val="4"/>
        </w:numPr>
        <w:rPr>
          <w:rFonts w:hint="eastAsia"/>
        </w:rPr>
      </w:pPr>
      <w:r>
        <w:t>项目所有工作内容完成以后，由乙方提交验收申请，由甲方组织验收小组，负责对项目进行全面验收，项目验收依次序对照执行标准为：①符合中华人民共和国国家和履约地相关安全质量标准、行业技术规范标准；②符合采购文件和响应承诺中各方共同认可的各项要求；③双方约定的其他验收标准。</w:t>
      </w:r>
    </w:p>
    <w:p>
      <w:pPr>
        <w:numPr>
          <w:ilvl w:val="0"/>
          <w:numId w:val="4"/>
        </w:numPr>
        <w:rPr>
          <w:rFonts w:hint="eastAsia"/>
        </w:rPr>
      </w:pPr>
      <w:r>
        <w:t>项目完工后乙方向甲方提供项目期间的各种文档，项目的终验需通过项目管理部门的总体验收，并由项目管理部门出具符合性验收报告，乙方须为验收提供必需的设备、工具及其他便利条件。</w:t>
      </w:r>
    </w:p>
    <w:p>
      <w:pPr>
        <w:numPr>
          <w:ilvl w:val="0"/>
          <w:numId w:val="4"/>
        </w:numPr>
        <w:rPr>
          <w:rFonts w:hint="eastAsia"/>
        </w:rPr>
      </w:pPr>
      <w:r>
        <w:t>在甲方的监督下，各项工作和文档须达到招标文件中技术要求的标准。</w:t>
      </w:r>
    </w:p>
    <w:p>
      <w:pPr>
        <w:numPr>
          <w:ilvl w:val="0"/>
          <w:numId w:val="4"/>
        </w:numPr>
        <w:rPr>
          <w:rFonts w:hint="eastAsia"/>
        </w:rPr>
      </w:pPr>
      <w:r>
        <w:rPr>
          <w:rFonts w:hint="eastAsia"/>
        </w:rPr>
        <w:t>项目验收时乙方需要提交以下项目文档：</w:t>
      </w:r>
    </w:p>
    <w:p>
      <w:pPr>
        <w:pStyle w:val="13"/>
        <w:numPr>
          <w:ilvl w:val="1"/>
          <w:numId w:val="5"/>
        </w:numPr>
        <w:rPr>
          <w:rFonts w:cs="宋体"/>
          <w:szCs w:val="24"/>
        </w:rPr>
      </w:pPr>
      <w:r>
        <w:rPr>
          <w:rFonts w:cs="宋体"/>
          <w:szCs w:val="24"/>
        </w:rPr>
        <w:t>系统上线确认单，</w:t>
      </w:r>
      <w:r>
        <w:rPr>
          <w:rFonts w:hint="eastAsia" w:cs="宋体"/>
          <w:szCs w:val="24"/>
        </w:rPr>
        <w:t>所有合同范围内业务系统均全部完成上线，正常试运行至少满</w:t>
      </w:r>
      <w:r>
        <w:rPr>
          <w:rFonts w:cs="宋体"/>
          <w:szCs w:val="24"/>
        </w:rPr>
        <w:t>30天。</w:t>
      </w:r>
    </w:p>
    <w:p>
      <w:pPr>
        <w:pStyle w:val="13"/>
        <w:numPr>
          <w:ilvl w:val="1"/>
          <w:numId w:val="5"/>
        </w:numPr>
        <w:rPr>
          <w:rFonts w:cs="宋体"/>
          <w:szCs w:val="24"/>
        </w:rPr>
      </w:pPr>
      <w:r>
        <w:rPr>
          <w:rFonts w:hint="eastAsia" w:cs="宋体"/>
          <w:szCs w:val="24"/>
        </w:rPr>
        <w:t>系统安装手册，包括安装部署系统</w:t>
      </w:r>
      <w:r>
        <w:rPr>
          <w:rFonts w:cs="宋体"/>
          <w:szCs w:val="24"/>
        </w:rPr>
        <w:t>(客户端、中间件、数据库等)的方法，负责培训的工程师</w:t>
      </w:r>
      <w:r>
        <w:rPr>
          <w:rFonts w:hint="eastAsia" w:cs="宋体"/>
          <w:szCs w:val="24"/>
        </w:rPr>
        <w:t>至完全掌握</w:t>
      </w:r>
      <w:r>
        <w:rPr>
          <w:rFonts w:cs="宋体"/>
          <w:szCs w:val="24"/>
        </w:rPr>
        <w:t>。</w:t>
      </w:r>
    </w:p>
    <w:p>
      <w:pPr>
        <w:pStyle w:val="13"/>
        <w:numPr>
          <w:ilvl w:val="1"/>
          <w:numId w:val="5"/>
        </w:numPr>
        <w:rPr>
          <w:rFonts w:cs="宋体"/>
          <w:szCs w:val="24"/>
        </w:rPr>
      </w:pPr>
      <w:r>
        <w:rPr>
          <w:rFonts w:cs="宋体"/>
          <w:szCs w:val="24"/>
        </w:rPr>
        <w:t>项目验收单，按医院要求的标准格式验收。</w:t>
      </w:r>
    </w:p>
    <w:p>
      <w:pPr>
        <w:pStyle w:val="13"/>
        <w:numPr>
          <w:ilvl w:val="1"/>
          <w:numId w:val="5"/>
        </w:numPr>
        <w:rPr>
          <w:rFonts w:cs="宋体"/>
          <w:szCs w:val="24"/>
        </w:rPr>
      </w:pPr>
      <w:r>
        <w:rPr>
          <w:rFonts w:cs="宋体"/>
          <w:szCs w:val="24"/>
        </w:rPr>
        <w:t>项目实施过程的文档、讲课录视频，产品培训讲义、视频。</w:t>
      </w:r>
    </w:p>
    <w:p>
      <w:pPr>
        <w:pStyle w:val="13"/>
        <w:numPr>
          <w:ilvl w:val="1"/>
          <w:numId w:val="5"/>
        </w:numPr>
        <w:rPr>
          <w:rFonts w:cs="宋体"/>
          <w:szCs w:val="24"/>
        </w:rPr>
      </w:pPr>
      <w:r>
        <w:rPr>
          <w:rFonts w:cs="宋体"/>
          <w:szCs w:val="24"/>
        </w:rPr>
        <w:t>提供合同的PDF版本，合同的WORD版本。</w:t>
      </w:r>
    </w:p>
    <w:p>
      <w:pPr>
        <w:pStyle w:val="2"/>
      </w:pPr>
      <w:r>
        <w:rPr>
          <w:rFonts w:hint="eastAsia"/>
        </w:rPr>
        <w:t>质保期及售后服务要求</w:t>
      </w:r>
    </w:p>
    <w:p>
      <w:pPr>
        <w:pStyle w:val="3"/>
      </w:pPr>
      <w:r>
        <w:rPr>
          <w:rFonts w:hint="eastAsia"/>
        </w:rPr>
        <w:t>质保期限</w:t>
      </w:r>
    </w:p>
    <w:p>
      <w:pPr>
        <w:ind w:firstLine="480" w:firstLineChars="200"/>
        <w:rPr>
          <w:rFonts w:hint="eastAsia"/>
        </w:rPr>
      </w:pPr>
      <w:r>
        <w:rPr>
          <w:rFonts w:hint="eastAsia"/>
        </w:rPr>
        <w:t>自验收日起质保</w:t>
      </w:r>
      <w:r>
        <w:rPr>
          <w:rFonts w:hint="eastAsia"/>
          <w:u w:val="single"/>
        </w:rPr>
        <w:t xml:space="preserve">   1   </w:t>
      </w:r>
      <w:r>
        <w:rPr>
          <w:rFonts w:hint="eastAsia"/>
        </w:rPr>
        <w:t>年。</w:t>
      </w:r>
      <w:r>
        <w:t xml:space="preserve"> </w:t>
      </w:r>
    </w:p>
    <w:p>
      <w:pPr>
        <w:pStyle w:val="3"/>
      </w:pPr>
      <w:r>
        <w:rPr>
          <w:rFonts w:hint="eastAsia"/>
        </w:rPr>
        <w:t>质保期间及质保期满后维保期间的服务要求</w:t>
      </w:r>
    </w:p>
    <w:p>
      <w:pPr>
        <w:pStyle w:val="4"/>
      </w:pPr>
      <w:r>
        <w:rPr>
          <w:rFonts w:hint="eastAsia"/>
        </w:rPr>
        <w:t>维保金额</w:t>
      </w:r>
    </w:p>
    <w:p>
      <w:pPr>
        <w:ind w:firstLine="480" w:firstLineChars="200"/>
        <w:rPr>
          <w:rFonts w:hint="eastAsia"/>
        </w:rPr>
      </w:pPr>
      <w:r>
        <w:rPr>
          <w:rFonts w:hint="eastAsia"/>
        </w:rPr>
        <w:t>免费质保期到期后，建议软件系统每年维保服务费按不高于软件系统总金额的</w:t>
      </w:r>
      <w:r>
        <w:rPr>
          <w:u w:val="single"/>
        </w:rPr>
        <w:t>10%</w:t>
      </w:r>
      <w:r>
        <w:t>收取，具体金额以采购招标为准。</w:t>
      </w:r>
    </w:p>
    <w:p>
      <w:pPr>
        <w:pStyle w:val="4"/>
      </w:pPr>
      <w:r>
        <w:rPr>
          <w:rFonts w:hint="eastAsia"/>
        </w:rPr>
        <w:t>软件运维服务</w:t>
      </w:r>
    </w:p>
    <w:p>
      <w:pPr>
        <w:numPr>
          <w:ilvl w:val="0"/>
          <w:numId w:val="6"/>
        </w:numPr>
        <w:rPr>
          <w:rFonts w:hint="eastAsia"/>
        </w:rPr>
      </w:pPr>
      <w:r>
        <w:t>故障排除：</w:t>
      </w:r>
      <w:r>
        <w:rPr>
          <w:rFonts w:hint="eastAsia"/>
        </w:rPr>
        <w:t>系统运行过程中乙方提供</w:t>
      </w:r>
      <w:r>
        <w:rPr>
          <w:rFonts w:hint="eastAsia" w:ascii="Times New Roman" w:hAnsi="Times New Roman" w:cs="宋体"/>
          <w:szCs w:val="24"/>
        </w:rPr>
        <w:t>7×24小时的售后服务，包括邮件、电话、远程服务等方式，响应时间小于等于</w:t>
      </w:r>
      <w:r>
        <w:rPr>
          <w:rFonts w:hint="eastAsia" w:ascii="Times New Roman" w:hAnsi="Times New Roman" w:cs="宋体"/>
          <w:szCs w:val="24"/>
          <w:u w:val="single"/>
        </w:rPr>
        <w:t>2</w:t>
      </w:r>
      <w:r>
        <w:rPr>
          <w:rFonts w:hint="eastAsia" w:ascii="Times New Roman" w:hAnsi="Times New Roman" w:cs="宋体"/>
          <w:szCs w:val="24"/>
        </w:rPr>
        <w:t>小时。若故障通过上述服务方式无法解决，应于</w:t>
      </w:r>
      <w:r>
        <w:rPr>
          <w:rFonts w:hint="eastAsia" w:ascii="Times New Roman" w:hAnsi="Times New Roman" w:cs="宋体"/>
          <w:szCs w:val="24"/>
          <w:u w:val="single"/>
        </w:rPr>
        <w:t>48</w:t>
      </w:r>
      <w:r>
        <w:rPr>
          <w:rFonts w:hint="eastAsia" w:ascii="Times New Roman" w:hAnsi="Times New Roman" w:cs="宋体"/>
          <w:szCs w:val="24"/>
        </w:rPr>
        <w:t>小时内到达现场进行维护。</w:t>
      </w:r>
    </w:p>
    <w:p>
      <w:pPr>
        <w:numPr>
          <w:ilvl w:val="0"/>
          <w:numId w:val="6"/>
        </w:numPr>
        <w:rPr>
          <w:rFonts w:hint="eastAsia"/>
        </w:rPr>
      </w:pPr>
      <w:r>
        <w:t>软件更新：</w:t>
      </w:r>
      <w:r>
        <w:rPr>
          <w:rFonts w:hint="eastAsia"/>
        </w:rPr>
        <w:t>乙方应承诺在质保</w:t>
      </w:r>
      <w:r>
        <w:rPr>
          <w:rFonts w:hint="eastAsia" w:ascii="Times New Roman" w:hAnsi="Times New Roman"/>
        </w:rPr>
        <w:t>、</w:t>
      </w:r>
      <w:r>
        <w:rPr>
          <w:rFonts w:hint="eastAsia"/>
        </w:rPr>
        <w:t>维保期内，如果乙方的产品技术升级，乙方应及时通知甲方，如甲方有相应要求，乙方应对甲方购买的产品进行升级服务。</w:t>
      </w:r>
      <w:r>
        <w:t>对程序BUG、程序错误提供定期的修复补丁包服务，定期优化软件功能和性能，在</w:t>
      </w:r>
      <w:r>
        <w:rPr>
          <w:rFonts w:hint="eastAsia"/>
        </w:rPr>
        <w:t>乙方</w:t>
      </w:r>
      <w:r>
        <w:t>推出同版本的新升级程序后，对系统进行升级；</w:t>
      </w:r>
    </w:p>
    <w:p>
      <w:pPr>
        <w:numPr>
          <w:ilvl w:val="0"/>
          <w:numId w:val="6"/>
        </w:numPr>
        <w:rPr>
          <w:rFonts w:hint="eastAsia"/>
        </w:rPr>
      </w:pPr>
      <w:r>
        <w:t>日常维护：维保期对系统进行修正性维护、适应性维护、完善性维护、</w:t>
      </w:r>
      <w:r>
        <w:rPr>
          <w:rFonts w:hint="eastAsia"/>
        </w:rPr>
        <w:t>预防</w:t>
      </w:r>
      <w:r>
        <w:t>性维护，每次维护均建立维护记录并归档；</w:t>
      </w:r>
    </w:p>
    <w:p>
      <w:pPr>
        <w:numPr>
          <w:ilvl w:val="0"/>
          <w:numId w:val="6"/>
        </w:numPr>
        <w:rPr>
          <w:rFonts w:hint="eastAsia"/>
        </w:rPr>
      </w:pPr>
      <w:r>
        <w:t>应急服务：出现紧急情况时，保证在半小时内启动应急服务，协调安排相关工作人员跟进处理相关紧急情况。维保公司有完整的应急方案，并根据医院实际情况进行修订；</w:t>
      </w:r>
    </w:p>
    <w:p>
      <w:pPr>
        <w:numPr>
          <w:ilvl w:val="0"/>
          <w:numId w:val="6"/>
        </w:numPr>
        <w:rPr>
          <w:rFonts w:hint="eastAsia"/>
        </w:rPr>
      </w:pPr>
      <w:r>
        <w:t>应用迁移：协助进行应用迁移，提供必要的</w:t>
      </w:r>
      <w:r>
        <w:rPr>
          <w:rFonts w:hint="eastAsia"/>
        </w:rPr>
        <w:t>技术</w:t>
      </w:r>
      <w:r>
        <w:t>支持</w:t>
      </w:r>
      <w:r>
        <w:rPr>
          <w:rFonts w:hint="eastAsia"/>
        </w:rPr>
        <w:t>与</w:t>
      </w:r>
      <w:r>
        <w:t>指导；</w:t>
      </w:r>
    </w:p>
    <w:p>
      <w:pPr>
        <w:numPr>
          <w:ilvl w:val="0"/>
          <w:numId w:val="6"/>
        </w:numPr>
        <w:rPr>
          <w:rFonts w:hint="eastAsia"/>
        </w:rPr>
      </w:pPr>
      <w:r>
        <w:t>咨询服务：</w:t>
      </w:r>
      <w:r>
        <w:rPr>
          <w:rFonts w:hint="eastAsia"/>
        </w:rPr>
        <w:t>乙方应对甲方</w:t>
      </w:r>
      <w:r>
        <w:t>用户在系统操作过程中的疑问</w:t>
      </w:r>
      <w:r>
        <w:rPr>
          <w:rFonts w:hint="eastAsia"/>
        </w:rPr>
        <w:t>提供咨询服务</w:t>
      </w:r>
      <w:r>
        <w:t>；</w:t>
      </w:r>
    </w:p>
    <w:p>
      <w:pPr>
        <w:numPr>
          <w:ilvl w:val="0"/>
          <w:numId w:val="6"/>
        </w:numPr>
        <w:rPr>
          <w:rFonts w:hint="eastAsia"/>
        </w:rPr>
      </w:pPr>
      <w:r>
        <w:t>维护培训：对</w:t>
      </w:r>
      <w:r>
        <w:rPr>
          <w:rFonts w:hint="eastAsia"/>
        </w:rPr>
        <w:t>甲方</w:t>
      </w:r>
      <w:r>
        <w:t>业务部门人员及主管系统人员，进行系统操作、维护培训；</w:t>
      </w:r>
      <w:r>
        <w:rPr>
          <w:rFonts w:hint="eastAsia"/>
        </w:rPr>
        <w:t>乙方</w:t>
      </w:r>
      <w:r>
        <w:t>提供系统运行</w:t>
      </w:r>
      <w:r>
        <w:rPr>
          <w:rFonts w:hint="eastAsia"/>
        </w:rPr>
        <w:t>情况</w:t>
      </w:r>
      <w:r>
        <w:t>检查方案及脚本并负责培训甲方工程师</w:t>
      </w:r>
      <w:r>
        <w:rPr>
          <w:rFonts w:hint="eastAsia"/>
        </w:rPr>
        <w:t>。</w:t>
      </w:r>
    </w:p>
    <w:p>
      <w:pPr>
        <w:pStyle w:val="4"/>
      </w:pPr>
      <w:r>
        <w:t>网络安全服务</w:t>
      </w:r>
    </w:p>
    <w:p>
      <w:pPr>
        <w:pStyle w:val="13"/>
        <w:numPr>
          <w:ilvl w:val="0"/>
          <w:numId w:val="7"/>
        </w:numPr>
      </w:pPr>
      <w:r>
        <w:t>网络安全等</w:t>
      </w:r>
      <w:r>
        <w:rPr>
          <w:rFonts w:hint="eastAsia"/>
        </w:rPr>
        <w:t>级保护</w:t>
      </w:r>
      <w:r>
        <w:t>要求：</w:t>
      </w:r>
      <w:r>
        <w:rPr>
          <w:rFonts w:hint="eastAsia"/>
        </w:rPr>
        <w:t>乙方提供的产品应能够符合网络信息安全等保测评要求（需提供证明文件）。</w:t>
      </w:r>
      <w:r>
        <w:t>乙方必须根据公安</w:t>
      </w:r>
      <w:r>
        <w:rPr>
          <w:rFonts w:hint="eastAsia"/>
        </w:rPr>
        <w:t>机关</w:t>
      </w:r>
      <w:r>
        <w:t>的时间要求随时</w:t>
      </w:r>
      <w:r>
        <w:rPr>
          <w:rFonts w:hint="eastAsia"/>
        </w:rPr>
        <w:t>免费</w:t>
      </w:r>
      <w:r>
        <w:t>无条件对本项目中所涉及的设备及系统进行安全漏洞检测和修复，并配合甲方完成日常等级保护检测和漏洞修复工作，以满足通过等级保护验收的要求。</w:t>
      </w:r>
      <w:r>
        <w:rPr>
          <w:rFonts w:hint="eastAsia"/>
        </w:rPr>
        <w:t>免费</w:t>
      </w:r>
      <w:r>
        <w:t>无条件根据网络安全咨询服务</w:t>
      </w:r>
      <w:r>
        <w:rPr>
          <w:rFonts w:hint="eastAsia"/>
        </w:rPr>
        <w:t>单位</w:t>
      </w:r>
      <w:r>
        <w:t>提供的方案进行整改。</w:t>
      </w:r>
    </w:p>
    <w:p>
      <w:pPr>
        <w:pStyle w:val="13"/>
        <w:numPr>
          <w:ilvl w:val="0"/>
          <w:numId w:val="7"/>
        </w:numPr>
      </w:pPr>
      <w:r>
        <w:rPr>
          <w:rFonts w:hint="eastAsia"/>
        </w:rPr>
        <w:t>商用密码要求：按照国家相关商用密码应用和管理要求，免费配合相关部门要求的完成商用密码评估及整改工作。</w:t>
      </w:r>
    </w:p>
    <w:p>
      <w:pPr>
        <w:pStyle w:val="13"/>
        <w:numPr>
          <w:ilvl w:val="0"/>
          <w:numId w:val="7"/>
        </w:numPr>
      </w:pPr>
      <w:r>
        <w:t>安全更新：对网络安全漏洞提供修复补丁包服务，优化网络安全性能</w:t>
      </w:r>
      <w:r>
        <w:rPr>
          <w:rFonts w:hint="eastAsia"/>
        </w:rPr>
        <w:t>。乙方在推出同版本的新升级程序后，对本系统进行升级。</w:t>
      </w:r>
    </w:p>
    <w:p>
      <w:pPr>
        <w:pStyle w:val="4"/>
      </w:pPr>
      <w:r>
        <w:t>数据库运维服务</w:t>
      </w:r>
    </w:p>
    <w:p>
      <w:pPr>
        <w:numPr>
          <w:ilvl w:val="0"/>
          <w:numId w:val="8"/>
        </w:numPr>
        <w:rPr>
          <w:rFonts w:hint="eastAsia"/>
        </w:rPr>
      </w:pPr>
      <w:r>
        <w:t>数据库服务器巡检：</w:t>
      </w:r>
      <w:r>
        <w:rPr>
          <w:rFonts w:hint="eastAsia"/>
        </w:rPr>
        <w:t>提供定期（每季度）到乙方与系统主管工程师进行数据库主机巡检，对现有数据库运行状态进行评估，并反馈评估报告；</w:t>
      </w:r>
    </w:p>
    <w:p>
      <w:pPr>
        <w:numPr>
          <w:ilvl w:val="0"/>
          <w:numId w:val="8"/>
        </w:numPr>
        <w:rPr>
          <w:rFonts w:hint="eastAsia"/>
        </w:rPr>
      </w:pPr>
      <w:r>
        <w:t>问题日志远程处理：对数据库中产生的问题日志，提供远程查看与指导；</w:t>
      </w:r>
    </w:p>
    <w:p>
      <w:pPr>
        <w:numPr>
          <w:ilvl w:val="0"/>
          <w:numId w:val="8"/>
        </w:numPr>
        <w:rPr>
          <w:rFonts w:hint="eastAsia"/>
        </w:rPr>
      </w:pPr>
      <w:r>
        <w:t>数据恢复：协助系统主管工程师恢复数据；</w:t>
      </w:r>
    </w:p>
    <w:p>
      <w:pPr>
        <w:numPr>
          <w:ilvl w:val="0"/>
          <w:numId w:val="8"/>
        </w:numPr>
        <w:rPr>
          <w:rFonts w:hint="eastAsia"/>
        </w:rPr>
      </w:pPr>
      <w:r>
        <w:t>数据调整：协助系统维护人员进行数据调整；</w:t>
      </w:r>
    </w:p>
    <w:p>
      <w:pPr>
        <w:numPr>
          <w:ilvl w:val="0"/>
          <w:numId w:val="8"/>
        </w:numPr>
        <w:rPr>
          <w:rFonts w:hint="eastAsia"/>
        </w:rPr>
      </w:pPr>
      <w:r>
        <w:t>数据迁移：协助进行数据库迁移，提供必要的支持和指导；</w:t>
      </w:r>
    </w:p>
    <w:p>
      <w:pPr>
        <w:numPr>
          <w:ilvl w:val="0"/>
          <w:numId w:val="8"/>
        </w:numPr>
        <w:rPr>
          <w:rFonts w:hint="eastAsia"/>
        </w:rPr>
      </w:pPr>
      <w:r>
        <w:rPr>
          <w:rFonts w:hint="eastAsia"/>
        </w:rPr>
        <w:t>应急服务：系统灾难发生时，导致系统不能正常使用超过半小时，维保公司需承诺立即响应，减少数据损失，降低灾难对整个系统正常运行的影响；</w:t>
      </w:r>
    </w:p>
    <w:p>
      <w:pPr>
        <w:numPr>
          <w:ilvl w:val="0"/>
          <w:numId w:val="8"/>
        </w:numPr>
        <w:rPr>
          <w:rFonts w:hint="eastAsia"/>
        </w:rPr>
      </w:pPr>
      <w:r>
        <w:t>问题解答：解答系统及数据库疑难问题。</w:t>
      </w:r>
    </w:p>
    <w:p>
      <w:pPr>
        <w:pStyle w:val="4"/>
      </w:pPr>
      <w:r>
        <w:rPr>
          <w:rFonts w:hint="eastAsia"/>
        </w:rPr>
        <w:t>驻场</w:t>
      </w:r>
      <w:r>
        <w:t>服务</w:t>
      </w:r>
    </w:p>
    <w:p>
      <w:pPr>
        <w:ind w:firstLine="480" w:firstLineChars="200"/>
        <w:rPr>
          <w:rFonts w:hint="eastAsia"/>
        </w:rPr>
      </w:pPr>
      <w:r>
        <w:rPr>
          <w:rFonts w:hint="eastAsia"/>
        </w:rPr>
        <w:t>自项目验收后，公司安排至少一名具有本公司相关项目运维经验不少于3年的人员负责驻场运维服务，驻场服务期不少于1年，参考医院正常上班时间。</w:t>
      </w:r>
    </w:p>
    <w:p>
      <w:pPr>
        <w:pStyle w:val="2"/>
      </w:pPr>
      <w:r>
        <w:rPr>
          <w:rFonts w:hint="eastAsia"/>
        </w:rPr>
        <w:t>保密要求</w:t>
      </w:r>
    </w:p>
    <w:p>
      <w:pPr>
        <w:ind w:firstLine="480" w:firstLineChars="200"/>
        <w:rPr>
          <w:rFonts w:hint="eastAsia"/>
        </w:rPr>
      </w:pPr>
      <w:r>
        <w:rPr>
          <w:rFonts w:hint="eastAsia"/>
        </w:rPr>
        <w:t>乙方必须如约承担合同履行时所应该尽的一切保密义务。乙方对甲方信息、项目实施过程中的资料、数据进行保密，未经甲方书面同意不得泄露给第三方，否则，甲方保留追究乙方法律责任的权利。保密责任不因合同的中止或解除而失效。</w:t>
      </w: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p>
    <w:p>
      <w:pPr>
        <w:ind w:firstLine="480" w:firstLineChars="200"/>
        <w:rPr>
          <w:rFonts w:hint="eastAsia"/>
        </w:rPr>
      </w:pPr>
      <w:bookmarkStart w:id="0" w:name="_GoBack"/>
      <w:bookmarkEnd w:id="0"/>
    </w:p>
    <w:p>
      <w:pPr>
        <w:pStyle w:val="2"/>
        <w:numPr>
          <w:ilvl w:val="0"/>
          <w:numId w:val="0"/>
        </w:numPr>
        <w:ind w:left="432"/>
        <w:jc w:val="center"/>
        <w:rPr>
          <w:sz w:val="36"/>
        </w:rPr>
      </w:pPr>
      <w:r>
        <w:rPr>
          <w:rFonts w:hint="eastAsia"/>
          <w:sz w:val="36"/>
        </w:rPr>
        <w:t>附件</w:t>
      </w:r>
      <w:r>
        <w:rPr>
          <w:sz w:val="36"/>
        </w:rPr>
        <w:t xml:space="preserve"> </w:t>
      </w:r>
      <w:r>
        <w:rPr>
          <w:rFonts w:hint="eastAsia"/>
          <w:sz w:val="36"/>
        </w:rPr>
        <w:t>《项目建设主要内容及要求》</w:t>
      </w:r>
    </w:p>
    <w:p>
      <w:pPr>
        <w:pStyle w:val="2"/>
        <w:numPr>
          <w:ilvl w:val="0"/>
          <w:numId w:val="9"/>
        </w:numPr>
      </w:pPr>
      <w:r>
        <w:t>系统实现遵循原则</w:t>
      </w:r>
      <w:r>
        <w:rPr>
          <w:rFonts w:hint="eastAsia"/>
        </w:rPr>
        <w:t>及要求</w:t>
      </w:r>
    </w:p>
    <w:p>
      <w:pPr>
        <w:ind w:firstLine="480" w:firstLineChars="200"/>
        <w:rPr>
          <w:rFonts w:hint="eastAsia"/>
        </w:rPr>
      </w:pPr>
      <w:r>
        <w:rPr>
          <w:rFonts w:hint="eastAsia"/>
        </w:rPr>
        <w:t>统一标准原则：在系统建设过程中，必须“统一规范、统一代码、统一接口”。加强指导、组织和协调，规范系统的基本功能、数据模型和数据编码等信息标准。</w:t>
      </w:r>
    </w:p>
    <w:p>
      <w:pPr>
        <w:ind w:firstLine="480" w:firstLineChars="200"/>
        <w:rPr>
          <w:rFonts w:hint="eastAsia"/>
        </w:rPr>
      </w:pPr>
      <w:r>
        <w:rPr>
          <w:rFonts w:hint="eastAsia"/>
        </w:rPr>
        <w:t>性能稳定原则：系统应具有较强的数据处理能力，满足全院</w:t>
      </w:r>
      <w:r>
        <w:t>7×24 小时服务的要求，保证医疗数据交换和资源共享的需要。</w:t>
      </w:r>
    </w:p>
    <w:p>
      <w:pPr>
        <w:ind w:firstLine="480" w:firstLineChars="200"/>
        <w:rPr>
          <w:rFonts w:hint="eastAsia"/>
        </w:rPr>
      </w:pPr>
      <w:r>
        <w:rPr>
          <w:rFonts w:hint="eastAsia"/>
        </w:rPr>
        <w:t>保证安全原则：系统运行的安全性和稳定性是业务系统正常运行的重要保障。在系统设计和建设中要符合国家有关信息安全方面的法律、法规及技术要求，强化信息安全管理，制定和完善相关的应急处理预案，保证系统稳定运行。</w:t>
      </w:r>
    </w:p>
    <w:p>
      <w:pPr>
        <w:ind w:firstLine="480" w:firstLineChars="200"/>
        <w:rPr>
          <w:rFonts w:hint="eastAsia"/>
        </w:rPr>
      </w:pPr>
      <w:r>
        <w:rPr>
          <w:rFonts w:hint="eastAsia"/>
        </w:rPr>
        <w:t>经济实效原则：项目建设必须坚持经济实效的原则，注重投入产出效益，不盲目追赶技术超前，防止大起大落，以合理的投入，产出适宜的效果。</w:t>
      </w:r>
    </w:p>
    <w:p>
      <w:pPr>
        <w:ind w:firstLine="480" w:firstLineChars="200"/>
        <w:rPr>
          <w:rFonts w:hint="eastAsia"/>
        </w:rPr>
      </w:pPr>
      <w:r>
        <w:rPr>
          <w:rFonts w:hint="eastAsia"/>
        </w:rPr>
        <w:t>扩展性、兼容性原则：项目的设计和实施应具有灵活的扩展能力，充分考虑国家相关标准和业务系统需求变化对数据格式、处理方式等带来的业务流程变动和模式调整。</w:t>
      </w:r>
    </w:p>
    <w:p>
      <w:pPr>
        <w:pStyle w:val="2"/>
        <w:numPr>
          <w:ilvl w:val="0"/>
          <w:numId w:val="9"/>
        </w:numPr>
      </w:pPr>
      <w:r>
        <w:t>系统实施的标准要求</w:t>
      </w:r>
    </w:p>
    <w:p>
      <w:pPr>
        <w:ind w:firstLine="480" w:firstLineChars="200"/>
        <w:rPr>
          <w:rFonts w:hint="eastAsia"/>
        </w:rPr>
      </w:pPr>
      <w:r>
        <w:rPr>
          <w:rFonts w:hint="eastAsia"/>
        </w:rPr>
        <w:t>系统须遵循《国家卫生信息标准基础框架》制定的统一的技术规范和相关数据共享要求。采用多层软件体系架构，以便能随时适应未来的新的需求调整，实现各级卫生部门、各业务系统的信息服务共享及各种服务的快速整合与快速响应。</w:t>
      </w:r>
    </w:p>
    <w:p>
      <w:pPr>
        <w:ind w:firstLine="480" w:firstLineChars="200"/>
        <w:rPr>
          <w:rFonts w:hint="eastAsia"/>
        </w:rPr>
      </w:pPr>
      <w:r>
        <w:rPr>
          <w:rFonts w:hint="eastAsia"/>
        </w:rPr>
        <w:t>系统设计和使用必须确保数据的准确性、可靠性、完整性、连续性、安全性及保密性。在网络环境下，需要使用多种技术手段保护数据的安全。应符合国家及医疗卫生行业的相关信息化和数据标准或规范，如</w:t>
      </w:r>
      <w:r>
        <w:t>HL7 CDA、DICOM、IHE XDS、XML、ICD10、电子病历国家标准、中华人民共和国计算机信息系统安全保护条例、中华人民共和国保密法、中国计算机安全法规标准等，在大量数据环境下能保证系统的运行速度；能确保数据存储及共享的标准化。</w:t>
      </w:r>
    </w:p>
    <w:p>
      <w:pPr>
        <w:numPr>
          <w:ilvl w:val="0"/>
          <w:numId w:val="10"/>
        </w:numPr>
        <w:rPr>
          <w:rFonts w:hint="eastAsia"/>
          <w:szCs w:val="21"/>
        </w:rPr>
      </w:pPr>
      <w:r>
        <w:rPr>
          <w:szCs w:val="21"/>
        </w:rPr>
        <w:t>优先参照国家统一标准，凡已公布国家/行业标准的遵循国家/行业标准；无国家/行业标准的参考国际标准、外国国家标准。</w:t>
      </w:r>
    </w:p>
    <w:p>
      <w:pPr>
        <w:numPr>
          <w:ilvl w:val="0"/>
          <w:numId w:val="10"/>
        </w:numPr>
        <w:rPr>
          <w:rFonts w:hint="eastAsia"/>
          <w:szCs w:val="21"/>
        </w:rPr>
      </w:pPr>
      <w:r>
        <w:rPr>
          <w:szCs w:val="21"/>
        </w:rPr>
        <w:t>如果国家、国际没有相应标准，参考国内省市已经形成的标准、规范。</w:t>
      </w:r>
    </w:p>
    <w:p>
      <w:pPr>
        <w:numPr>
          <w:ilvl w:val="0"/>
          <w:numId w:val="10"/>
        </w:numPr>
        <w:rPr>
          <w:rFonts w:hint="eastAsia"/>
          <w:szCs w:val="21"/>
        </w:rPr>
      </w:pPr>
      <w:r>
        <w:rPr>
          <w:szCs w:val="21"/>
        </w:rPr>
        <w:t>如果国家、国际、省市都没有相应标准，自建区标准。需自建信息字典的编制和维护，卫生信息标准的引用和参照。</w:t>
      </w:r>
    </w:p>
    <w:p>
      <w:pPr>
        <w:pStyle w:val="2"/>
      </w:pPr>
      <w:r>
        <w:rPr>
          <w:rFonts w:hint="eastAsia"/>
        </w:rPr>
        <w:t>系统评审要求</w:t>
      </w:r>
    </w:p>
    <w:p>
      <w:pPr>
        <w:numPr>
          <w:ilvl w:val="0"/>
          <w:numId w:val="11"/>
        </w:numPr>
        <w:rPr>
          <w:rFonts w:hint="eastAsia"/>
        </w:rPr>
      </w:pPr>
      <w:r>
        <w:rPr>
          <w:rFonts w:hint="eastAsia"/>
        </w:rPr>
        <w:t>提供的软件版本已具备5级电子病历要求的功能，免费配合医院通过5级电子病历评审工作。</w:t>
      </w:r>
    </w:p>
    <w:p>
      <w:pPr>
        <w:numPr>
          <w:ilvl w:val="0"/>
          <w:numId w:val="11"/>
        </w:numPr>
        <w:ind w:firstLineChars="200"/>
        <w:rPr>
          <w:rFonts w:hint="eastAsia"/>
        </w:rPr>
      </w:pPr>
      <w:r>
        <w:rPr>
          <w:rFonts w:hint="eastAsia"/>
        </w:rPr>
        <w:t>具备通过6级电子病历要求的技术能力，并具备通过6级电子病历评审要求。</w:t>
      </w:r>
    </w:p>
    <w:p>
      <w:pPr>
        <w:numPr>
          <w:ilvl w:val="0"/>
          <w:numId w:val="11"/>
        </w:numPr>
        <w:ind w:firstLineChars="200"/>
        <w:rPr>
          <w:rFonts w:hint="eastAsia"/>
        </w:rPr>
      </w:pPr>
      <w:r>
        <w:rPr>
          <w:rFonts w:hint="eastAsia"/>
        </w:rPr>
        <w:t>提供的软件版本已具备互联互通五乙的功能，免费配合医院通过互联互通五乙评审工作。</w:t>
      </w:r>
    </w:p>
    <w:p>
      <w:pPr>
        <w:numPr>
          <w:ilvl w:val="0"/>
          <w:numId w:val="11"/>
        </w:numPr>
        <w:ind w:firstLineChars="200"/>
        <w:rPr>
          <w:rFonts w:hint="eastAsia"/>
        </w:rPr>
      </w:pPr>
      <w:r>
        <w:rPr>
          <w:rFonts w:hint="eastAsia"/>
        </w:rPr>
        <w:t>免费配合医院通过智慧服务三级、智慧管理三级评审工作。</w:t>
      </w:r>
    </w:p>
    <w:p>
      <w:pPr>
        <w:numPr>
          <w:ilvl w:val="0"/>
          <w:numId w:val="11"/>
        </w:numPr>
        <w:ind w:firstLineChars="200"/>
        <w:rPr>
          <w:rFonts w:hint="eastAsia"/>
        </w:rPr>
      </w:pPr>
      <w:r>
        <w:rPr>
          <w:rFonts w:hint="eastAsia"/>
        </w:rPr>
        <w:t>提供的软件版本已具备三甲医院管理要求的功能，免费配合医院通过三甲医院评审工作。</w:t>
      </w:r>
    </w:p>
    <w:p>
      <w:pPr>
        <w:pStyle w:val="2"/>
      </w:pPr>
      <w:r>
        <w:rPr>
          <w:rFonts w:hint="eastAsia"/>
        </w:rPr>
        <w:t>项目要求</w:t>
      </w:r>
    </w:p>
    <w:p>
      <w:pPr>
        <w:pStyle w:val="3"/>
      </w:pPr>
      <w:r>
        <w:t>项目技术</w:t>
      </w:r>
      <w:r>
        <w:rPr>
          <w:rFonts w:hint="eastAsia"/>
        </w:rPr>
        <w:t>要求</w:t>
      </w:r>
    </w:p>
    <w:p>
      <w:pPr>
        <w:numPr>
          <w:ilvl w:val="0"/>
          <w:numId w:val="12"/>
        </w:numPr>
        <w:rPr>
          <w:rFonts w:hint="eastAsia"/>
        </w:rPr>
      </w:pPr>
      <w:r>
        <w:t>客户端系统采用CS方式则应支持以下操作系统：win10 企业版32位、win10 企业版64位；采用.net框架的需支持.net framework 4.5及以上。</w:t>
      </w:r>
      <w:r>
        <w:rPr>
          <w:rFonts w:hint="eastAsia"/>
        </w:rPr>
        <w:t>客户端采用</w:t>
      </w:r>
      <w:r>
        <w:t>BS方式则应支持</w:t>
      </w:r>
      <w:r>
        <w:rPr>
          <w:rFonts w:hint="eastAsia"/>
        </w:rPr>
        <w:t>：W</w:t>
      </w:r>
      <w:r>
        <w:t>IN10</w:t>
      </w:r>
      <w:r>
        <w:rPr>
          <w:rFonts w:hint="eastAsia"/>
        </w:rPr>
        <w:t>以上操作系统调用操作系统默认e</w:t>
      </w:r>
      <w:r>
        <w:t>dge</w:t>
      </w:r>
      <w:r>
        <w:rPr>
          <w:rFonts w:hint="eastAsia"/>
        </w:rPr>
        <w:t>浏览器</w:t>
      </w:r>
      <w:r>
        <w:t>。</w:t>
      </w:r>
    </w:p>
    <w:p>
      <w:pPr>
        <w:numPr>
          <w:ilvl w:val="0"/>
          <w:numId w:val="12"/>
        </w:numPr>
        <w:rPr>
          <w:rFonts w:hint="eastAsia"/>
        </w:rPr>
      </w:pPr>
      <w:r>
        <w:t>整个系统从客户端、中间层、数据库层支持虚拟化技术，可在虚拟化环境下正常运行，支持vm等常见的虚拟机。</w:t>
      </w:r>
    </w:p>
    <w:p>
      <w:pPr>
        <w:numPr>
          <w:ilvl w:val="0"/>
          <w:numId w:val="12"/>
        </w:numPr>
        <w:rPr>
          <w:rFonts w:hint="eastAsia"/>
        </w:rPr>
      </w:pPr>
      <w:r>
        <w:t>不限用户点数，不限同时在线点数，不设使用期限。</w:t>
      </w:r>
    </w:p>
    <w:p>
      <w:pPr>
        <w:numPr>
          <w:ilvl w:val="0"/>
          <w:numId w:val="12"/>
        </w:numPr>
        <w:rPr>
          <w:rFonts w:hint="eastAsia"/>
        </w:rPr>
      </w:pPr>
      <w:r>
        <w:t>甲方购买的产品为终身授权</w:t>
      </w:r>
      <w:r>
        <w:rPr>
          <w:rFonts w:hint="eastAsia"/>
        </w:rPr>
        <w:t>，不允许另行购买许可</w:t>
      </w:r>
      <w:r>
        <w:t>。如对软件产品的授权有加密功能，时间许可为永久，只允许软加密，不允许采用U盘加密狗等硬加密方式，软加密不允许读任何服务器、任何终端的任何软硬件信息作为加密的一部分。</w:t>
      </w:r>
    </w:p>
    <w:p>
      <w:pPr>
        <w:numPr>
          <w:ilvl w:val="0"/>
          <w:numId w:val="12"/>
        </w:numPr>
        <w:rPr>
          <w:rFonts w:hint="eastAsia"/>
        </w:rPr>
      </w:pPr>
      <w:r>
        <w:rPr>
          <w:rFonts w:hint="eastAsia"/>
        </w:rPr>
        <w:t>网络安全等保要求：乙方必须根据公安机关的时间要求随时免费无条件对本项目中所涉及的设备及系统进行安全漏洞检测和修复，并配合甲方完成日常等级保护检测和漏洞修复工作，以满足通过等级保护验收的要求。根据网络安全咨询服务公司提供的方案进行整改。系统整体安全级别需完全符合国家《网络安全等级保护</w:t>
      </w:r>
      <w:r>
        <w:t>2.0》三级标准的相关要求。系统上线前，乙方需请具备安全评估资质的公司针对开放的端口做上线安全评估检测并盖评估公司章确认已做评估。如网络扫描发现高危、中危漏洞需通知相关责任人立即修复，并需出一份系统安全整改报告盖乙方的公章。</w:t>
      </w:r>
    </w:p>
    <w:p>
      <w:pPr>
        <w:numPr>
          <w:ilvl w:val="0"/>
          <w:numId w:val="12"/>
        </w:numPr>
        <w:rPr>
          <w:rFonts w:hint="eastAsia"/>
        </w:rPr>
      </w:pPr>
      <w:r>
        <w:rPr>
          <w:rFonts w:hint="eastAsia"/>
        </w:rPr>
        <w:t>商用密码要求：</w:t>
      </w:r>
      <w:r>
        <w:t>按照国家相关商用密码应用和管理要求，免费配合相关部门要求的完成商用密码评估及整改工作。</w:t>
      </w:r>
    </w:p>
    <w:p>
      <w:pPr>
        <w:pStyle w:val="13"/>
        <w:numPr>
          <w:ilvl w:val="0"/>
          <w:numId w:val="12"/>
        </w:numPr>
        <w:rPr>
          <w:rFonts w:hint="eastAsia" w:ascii="宋体" w:hAnsi="宋体"/>
        </w:rPr>
      </w:pPr>
      <w:r>
        <w:rPr>
          <w:rFonts w:hint="eastAsia" w:ascii="宋体" w:hAnsi="宋体"/>
        </w:rPr>
        <w:t>数据库安全保护要求：要有数据库技术防错机制，禁止明文密码出现，禁止业务用户拥有</w:t>
      </w:r>
      <w:r>
        <w:rPr>
          <w:rFonts w:ascii="宋体" w:hAnsi="宋体"/>
        </w:rPr>
        <w:t>DBA权限，禁止使用管理员用户作为与业务系统的连接。</w:t>
      </w:r>
    </w:p>
    <w:p>
      <w:pPr>
        <w:numPr>
          <w:ilvl w:val="0"/>
          <w:numId w:val="12"/>
        </w:numPr>
        <w:rPr>
          <w:rFonts w:hint="eastAsia"/>
        </w:rPr>
      </w:pPr>
      <w:r>
        <w:t>应用服务器与数据库服务器(含数据文件)分离，分别部署在不同的服务器上。</w:t>
      </w:r>
    </w:p>
    <w:p>
      <w:pPr>
        <w:numPr>
          <w:ilvl w:val="0"/>
          <w:numId w:val="12"/>
        </w:numPr>
        <w:rPr>
          <w:rFonts w:hint="eastAsia"/>
        </w:rPr>
      </w:pPr>
      <w:r>
        <w:t>项目验收前乙方免费完成所有与该系统有关的信息系统、政策性任务、医疗设备等接口开发调试工作，并保证接口的正常运行投入使用。</w:t>
      </w:r>
    </w:p>
    <w:p>
      <w:pPr>
        <w:numPr>
          <w:ilvl w:val="0"/>
          <w:numId w:val="12"/>
        </w:numPr>
        <w:rPr>
          <w:rFonts w:hint="eastAsia"/>
        </w:rPr>
      </w:pPr>
      <w:r>
        <w:t>项目验收前实施过程中如需要与第三方厂商的产品对接，第三方厂商的接口改造费用由乙方支付。</w:t>
      </w:r>
    </w:p>
    <w:p>
      <w:pPr>
        <w:numPr>
          <w:ilvl w:val="0"/>
          <w:numId w:val="12"/>
        </w:numPr>
        <w:rPr>
          <w:rFonts w:hint="eastAsia"/>
        </w:rPr>
      </w:pPr>
      <w:r>
        <w:t>软件符合《全国医院信息化建设标准与规范》要求。</w:t>
      </w:r>
    </w:p>
    <w:p>
      <w:pPr>
        <w:numPr>
          <w:ilvl w:val="0"/>
          <w:numId w:val="12"/>
        </w:numPr>
        <w:rPr>
          <w:rFonts w:hint="eastAsia"/>
        </w:rPr>
      </w:pPr>
      <w:r>
        <w:t>服务器操作系统相关：优先采用Linux操作系统及配套成熟组件部署业务系统再考虑采用Windows Server 2016操作系统及配套成熟组件部署业务系统，并自带序列号激活码。</w:t>
      </w:r>
    </w:p>
    <w:p>
      <w:pPr>
        <w:numPr>
          <w:ilvl w:val="0"/>
          <w:numId w:val="12"/>
        </w:numPr>
        <w:rPr>
          <w:rFonts w:hint="eastAsia"/>
        </w:rPr>
      </w:pPr>
      <w:r>
        <w:t>数据库采用</w:t>
      </w:r>
      <w:r>
        <w:rPr>
          <w:rFonts w:hint="eastAsia"/>
        </w:rPr>
        <w:t>主流成熟产品</w:t>
      </w:r>
      <w:r>
        <w:t>。</w:t>
      </w:r>
    </w:p>
    <w:p>
      <w:pPr>
        <w:numPr>
          <w:ilvl w:val="0"/>
          <w:numId w:val="12"/>
        </w:numPr>
        <w:rPr>
          <w:rFonts w:hint="eastAsia"/>
        </w:rPr>
      </w:pPr>
      <w:r>
        <w:rPr>
          <w:rFonts w:hint="eastAsia"/>
        </w:rPr>
        <w:t>用户首次登录系统时要求系统能提示用户强制修改原始密码；</w:t>
      </w:r>
      <w:r>
        <w:t>不允许有不符合网络安全要求的数据库、应用服务器、客户端弱口令；从技术层面强制控制强密码要求采用数字、大小写字母、特殊符号组成，密码长度不少于8位，并设立开关控制</w:t>
      </w:r>
      <w:r>
        <w:rPr>
          <w:rFonts w:hint="eastAsia"/>
        </w:rPr>
        <w:t>；有定期强制更换密码开关，并能设置某个周期内强制用户登录时更换密码</w:t>
      </w:r>
      <w:r>
        <w:t>。</w:t>
      </w:r>
    </w:p>
    <w:p>
      <w:pPr>
        <w:numPr>
          <w:ilvl w:val="0"/>
          <w:numId w:val="12"/>
        </w:numPr>
        <w:rPr>
          <w:rFonts w:hint="eastAsia"/>
        </w:rPr>
      </w:pPr>
      <w:r>
        <w:rPr>
          <w:rFonts w:hint="eastAsia"/>
        </w:rPr>
        <w:t>如系统牵涉财务收费对账问题，则需有相关的对账报表以辅助业务科室完成对账工作。</w:t>
      </w:r>
    </w:p>
    <w:p>
      <w:pPr>
        <w:numPr>
          <w:ilvl w:val="0"/>
          <w:numId w:val="12"/>
        </w:numPr>
        <w:ind w:firstLineChars="200"/>
        <w:rPr>
          <w:rFonts w:hint="eastAsia"/>
        </w:rPr>
      </w:pPr>
      <w:r>
        <w:rPr>
          <w:rFonts w:hint="eastAsia"/>
        </w:rPr>
        <w:t>项目验收后甲方每一个</w:t>
      </w:r>
      <w:r>
        <w:t>BUG提出至乙方，乙方需在5个工作日内评估出解决方案，并通过电子邮件告知甲方。</w:t>
      </w:r>
    </w:p>
    <w:p>
      <w:pPr>
        <w:numPr>
          <w:ilvl w:val="0"/>
          <w:numId w:val="12"/>
        </w:numPr>
        <w:ind w:firstLineChars="200"/>
        <w:rPr>
          <w:rFonts w:hint="eastAsia"/>
        </w:rPr>
      </w:pPr>
      <w:r>
        <w:t>项目验收后甲方每一个需求提出至乙方，乙方需在20个工作日内评估出解决方案，并通过电子邮件告知甲方，具体如下：</w:t>
      </w:r>
    </w:p>
    <w:p>
      <w:pPr>
        <w:pStyle w:val="13"/>
        <w:numPr>
          <w:ilvl w:val="1"/>
          <w:numId w:val="13"/>
        </w:numPr>
        <w:rPr>
          <w:rFonts w:cs="宋体"/>
          <w:szCs w:val="24"/>
        </w:rPr>
      </w:pPr>
      <w:r>
        <w:rPr>
          <w:rFonts w:cs="宋体"/>
          <w:szCs w:val="24"/>
        </w:rPr>
        <w:t>无法实现。</w:t>
      </w:r>
    </w:p>
    <w:p>
      <w:pPr>
        <w:pStyle w:val="13"/>
        <w:numPr>
          <w:ilvl w:val="1"/>
          <w:numId w:val="13"/>
        </w:numPr>
        <w:rPr>
          <w:rFonts w:cs="宋体"/>
          <w:szCs w:val="24"/>
        </w:rPr>
      </w:pPr>
      <w:r>
        <w:rPr>
          <w:rFonts w:cs="宋体"/>
          <w:szCs w:val="24"/>
        </w:rPr>
        <w:t>质保期、维保期内免费实现，计划完工日期。</w:t>
      </w:r>
    </w:p>
    <w:p>
      <w:pPr>
        <w:pStyle w:val="13"/>
        <w:numPr>
          <w:ilvl w:val="1"/>
          <w:numId w:val="13"/>
        </w:numPr>
        <w:rPr>
          <w:rFonts w:cs="宋体"/>
          <w:szCs w:val="24"/>
        </w:rPr>
      </w:pPr>
      <w:r>
        <w:rPr>
          <w:rFonts w:cs="宋体"/>
          <w:szCs w:val="24"/>
        </w:rPr>
        <w:t>需开立新合同，请注明具体的完工日期、费用。</w:t>
      </w:r>
    </w:p>
    <w:p>
      <w:pPr>
        <w:numPr>
          <w:ilvl w:val="0"/>
          <w:numId w:val="12"/>
        </w:numPr>
        <w:ind w:firstLineChars="200"/>
        <w:rPr>
          <w:rFonts w:hint="eastAsia"/>
        </w:rPr>
      </w:pPr>
      <w:r>
        <w:t>支持的移动应用种类：</w:t>
      </w:r>
      <w:r>
        <w:rPr>
          <w:rFonts w:hint="eastAsia"/>
        </w:rPr>
        <w:t>如微信等调用方式</w:t>
      </w:r>
      <w:r>
        <w:t>。</w:t>
      </w:r>
    </w:p>
    <w:p>
      <w:pPr>
        <w:numPr>
          <w:ilvl w:val="0"/>
          <w:numId w:val="12"/>
        </w:numPr>
        <w:ind w:firstLineChars="200"/>
        <w:rPr>
          <w:rFonts w:hint="eastAsia"/>
        </w:rPr>
      </w:pPr>
      <w:r>
        <w:rPr>
          <w:rFonts w:hint="eastAsia"/>
        </w:rPr>
        <w:t>系统使用现行主流开发产品(语言)、数据库；具备中台架构、微服务架构。</w:t>
      </w:r>
    </w:p>
    <w:p>
      <w:pPr>
        <w:numPr>
          <w:ilvl w:val="0"/>
          <w:numId w:val="12"/>
        </w:numPr>
        <w:ind w:firstLineChars="200"/>
        <w:rPr>
          <w:rFonts w:hint="eastAsia"/>
        </w:rPr>
      </w:pPr>
      <w:r>
        <w:rPr>
          <w:rFonts w:hint="eastAsia"/>
        </w:rPr>
        <w:t>本项目实现的成果，配合医院进行成果转化，申请软件著作权等。</w:t>
      </w:r>
    </w:p>
    <w:p>
      <w:pPr>
        <w:numPr>
          <w:ilvl w:val="0"/>
          <w:numId w:val="12"/>
        </w:numPr>
        <w:ind w:firstLineChars="200"/>
        <w:rPr>
          <w:rFonts w:hint="eastAsia"/>
        </w:rPr>
      </w:pPr>
      <w:r>
        <w:t>中标人需提供相关系统的可编译可执行且符合使用单位现状的系统源代码</w:t>
      </w:r>
      <w:r>
        <w:rPr>
          <w:rFonts w:hint="eastAsia"/>
        </w:rPr>
        <w:t>。</w:t>
      </w:r>
    </w:p>
    <w:p>
      <w:pPr>
        <w:numPr>
          <w:ilvl w:val="0"/>
          <w:numId w:val="12"/>
        </w:numPr>
        <w:ind w:firstLineChars="200"/>
        <w:rPr>
          <w:rFonts w:hint="eastAsia"/>
        </w:rPr>
      </w:pPr>
      <w:r>
        <w:rPr>
          <w:rFonts w:hint="eastAsia"/>
        </w:rPr>
        <w:t>国产信创要求：</w:t>
      </w:r>
      <w:r>
        <w:t>为保障系统自主可控和信息安全，供应商需按照最新信创要求配合医院适配国产操作系统、国产数据库、国产中间件等国产自主安全平台。</w:t>
      </w:r>
    </w:p>
    <w:p>
      <w:pPr>
        <w:pStyle w:val="3"/>
      </w:pPr>
      <w:r>
        <w:t>项目实施</w:t>
      </w:r>
      <w:r>
        <w:rPr>
          <w:rFonts w:hint="eastAsia"/>
        </w:rPr>
        <w:t>要求</w:t>
      </w:r>
    </w:p>
    <w:p>
      <w:pPr>
        <w:numPr>
          <w:ilvl w:val="0"/>
          <w:numId w:val="14"/>
        </w:numPr>
        <w:rPr>
          <w:rFonts w:hint="eastAsia"/>
        </w:rPr>
      </w:pPr>
      <w:r>
        <w:t>项目完成验收前驻甲方现场工程师至少人数：</w:t>
      </w:r>
      <w:r>
        <w:rPr>
          <w:u w:val="single"/>
        </w:rPr>
        <w:t xml:space="preserve">  </w:t>
      </w:r>
      <w:r>
        <w:rPr>
          <w:rFonts w:hint="eastAsia"/>
          <w:u w:val="single"/>
        </w:rPr>
        <w:t>2</w:t>
      </w:r>
      <w:r>
        <w:rPr>
          <w:u w:val="single"/>
        </w:rPr>
        <w:t xml:space="preserve">    </w:t>
      </w:r>
      <w:r>
        <w:t>人</w:t>
      </w:r>
    </w:p>
    <w:p>
      <w:pPr>
        <w:numPr>
          <w:ilvl w:val="0"/>
          <w:numId w:val="14"/>
        </w:numPr>
        <w:ind w:firstLineChars="200"/>
        <w:rPr>
          <w:rFonts w:hint="eastAsia"/>
        </w:rPr>
      </w:pPr>
      <w:r>
        <w:rPr>
          <w:rFonts w:hint="eastAsia"/>
        </w:rPr>
        <w:t>人员资质要求：</w:t>
      </w:r>
    </w:p>
    <w:p>
      <w:pPr>
        <w:pStyle w:val="13"/>
        <w:numPr>
          <w:ilvl w:val="1"/>
          <w:numId w:val="14"/>
        </w:numPr>
      </w:pPr>
      <w:r>
        <w:rPr>
          <w:rFonts w:hint="eastAsia" w:cs="宋体"/>
          <w:szCs w:val="24"/>
        </w:rPr>
        <w:t>（高级）信息系统项目管理师至少1名，具备相关项目管理工作年限不少于3年</w:t>
      </w:r>
      <w:r>
        <w:rPr>
          <w:rFonts w:hint="eastAsia"/>
        </w:rPr>
        <w:t>；</w:t>
      </w:r>
    </w:p>
    <w:p>
      <w:pPr>
        <w:pStyle w:val="13"/>
        <w:numPr>
          <w:ilvl w:val="1"/>
          <w:numId w:val="14"/>
        </w:numPr>
        <w:rPr>
          <w:rFonts w:cs="宋体"/>
          <w:szCs w:val="24"/>
        </w:rPr>
      </w:pPr>
      <w:r>
        <w:rPr>
          <w:rFonts w:hint="eastAsia" w:cs="宋体"/>
          <w:szCs w:val="24"/>
        </w:rPr>
        <w:t>资深项目实施人员至少1名，具备相关项目实施工作年限不少于1年。</w:t>
      </w:r>
    </w:p>
    <w:p>
      <w:pPr>
        <w:numPr>
          <w:ilvl w:val="0"/>
          <w:numId w:val="14"/>
        </w:numPr>
        <w:ind w:firstLineChars="200"/>
        <w:rPr>
          <w:rFonts w:hint="eastAsia"/>
        </w:rPr>
      </w:pPr>
      <w:r>
        <w:rPr>
          <w:rFonts w:hint="eastAsia"/>
        </w:rPr>
        <w:t>实施期间在甲方指定地点办公，并每天向主管工程师手写签到，正常上班期间按医院作息时间执行。</w:t>
      </w:r>
    </w:p>
    <w:p>
      <w:pPr>
        <w:numPr>
          <w:ilvl w:val="0"/>
          <w:numId w:val="14"/>
        </w:numPr>
        <w:ind w:firstLineChars="200"/>
        <w:rPr>
          <w:rFonts w:hint="eastAsia"/>
        </w:rPr>
      </w:pPr>
      <w:r>
        <w:t>乙方在拿到中标通知书后与甲方签订合同期间来甲方现场完成如下事项：成立项目组织，有项目实施方案、项目进度甘特图，WBS工作详细分解包、确定与第三方公司的接口。在项目实施过程中与第三方公司的接口先行，并能按计划推进项目，按时按质完成工作。</w:t>
      </w:r>
    </w:p>
    <w:p>
      <w:pPr>
        <w:numPr>
          <w:ilvl w:val="0"/>
          <w:numId w:val="14"/>
        </w:numPr>
        <w:ind w:firstLineChars="200"/>
        <w:rPr>
          <w:rFonts w:hint="eastAsia"/>
        </w:rPr>
      </w:pPr>
      <w:r>
        <w:t>每周提交一次项目周报，每个月至少开一次项目沟通例会。</w:t>
      </w:r>
    </w:p>
    <w:p>
      <w:pPr>
        <w:numPr>
          <w:ilvl w:val="0"/>
          <w:numId w:val="14"/>
        </w:numPr>
        <w:ind w:firstLineChars="200"/>
        <w:rPr>
          <w:rFonts w:hint="eastAsia"/>
        </w:rPr>
      </w:pPr>
      <w:r>
        <w:t>负责系统的安装部署、调试并能正常运行。</w:t>
      </w:r>
    </w:p>
    <w:p>
      <w:pPr>
        <w:numPr>
          <w:ilvl w:val="0"/>
          <w:numId w:val="14"/>
        </w:numPr>
        <w:ind w:firstLineChars="200"/>
        <w:rPr>
          <w:rFonts w:hint="eastAsia"/>
        </w:rPr>
      </w:pPr>
      <w:r>
        <w:t>系统运行所需的各种环境安装包由公司提供并负责安装。</w:t>
      </w:r>
    </w:p>
    <w:p>
      <w:pPr>
        <w:numPr>
          <w:ilvl w:val="0"/>
          <w:numId w:val="14"/>
        </w:numPr>
        <w:ind w:firstLineChars="200"/>
        <w:rPr>
          <w:rFonts w:hint="eastAsia"/>
        </w:rPr>
      </w:pPr>
      <w:r>
        <w:t>系统实施、上线、维保整个生命周期内的需求、BUG需要在甲方的“信息化项目需求管理系统”上进行响应和管理。</w:t>
      </w:r>
    </w:p>
    <w:p>
      <w:pPr>
        <w:numPr>
          <w:ilvl w:val="0"/>
          <w:numId w:val="14"/>
        </w:numPr>
        <w:ind w:firstLineChars="200"/>
        <w:rPr>
          <w:rFonts w:hint="eastAsia"/>
        </w:rPr>
      </w:pPr>
      <w:r>
        <w:t>承建商须在本项目中负责提供“软件”，并提供安装调试、培训和售后技术支持服务，所提供软件保证满足甲方功能要求，数据准确、速度快捷、运行稳定，保证系统的正常应用。</w:t>
      </w:r>
    </w:p>
    <w:p>
      <w:pPr>
        <w:numPr>
          <w:ilvl w:val="0"/>
          <w:numId w:val="14"/>
        </w:numPr>
        <w:ind w:firstLineChars="200"/>
        <w:rPr>
          <w:rFonts w:hint="eastAsia" w:ascii="仿宋" w:hAnsi="仿宋" w:eastAsia="仿宋" w:cs="宋体"/>
          <w:sz w:val="28"/>
          <w:szCs w:val="28"/>
        </w:rPr>
      </w:pPr>
      <w:r>
        <w:t>承建商须能熟练操作及应用全部系统，确保本项目相关业务人员对其使用的应用系统能熟练操作使用。</w:t>
      </w:r>
    </w:p>
    <w:p>
      <w:pPr>
        <w:pStyle w:val="3"/>
      </w:pPr>
      <w:r>
        <w:rPr>
          <w:rFonts w:hint="eastAsia"/>
        </w:rPr>
        <w:t>项目配置清单</w:t>
      </w:r>
    </w:p>
    <w:tbl>
      <w:tblPr>
        <w:tblStyle w:val="8"/>
        <w:tblW w:w="8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475"/>
        <w:gridCol w:w="5245"/>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blHeader/>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4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功能</w:t>
            </w:r>
          </w:p>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模块</w:t>
            </w:r>
          </w:p>
        </w:tc>
        <w:tc>
          <w:tcPr>
            <w:tcW w:w="52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功能摘要</w:t>
            </w:r>
          </w:p>
        </w:tc>
        <w:tc>
          <w:tcPr>
            <w:tcW w:w="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宋体"/>
                <w:b/>
                <w:bCs/>
                <w:sz w:val="28"/>
                <w:szCs w:val="28"/>
              </w:rPr>
            </w:pPr>
            <w:r>
              <w:rPr>
                <w:rFonts w:hint="eastAsia" w:ascii="仿宋" w:hAnsi="仿宋" w:eastAsia="仿宋" w:cs="宋体"/>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400" w:lineRule="exact"/>
              <w:ind w:left="425" w:hanging="42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p>
        </w:tc>
        <w:tc>
          <w:tcPr>
            <w:tcW w:w="769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宋体" w:cs="仿宋_GB2312"/>
                <w:sz w:val="28"/>
                <w:szCs w:val="28"/>
                <w:lang w:val="en-US" w:eastAsia="zh-CN"/>
              </w:rPr>
            </w:pPr>
            <w:r>
              <w:rPr>
                <w:rFonts w:hint="eastAsia" w:ascii="仿宋_GB2312" w:hAnsi="仿宋_GB2312" w:eastAsia="仿宋_GB2312" w:cs="仿宋_GB2312"/>
                <w:b/>
                <w:bCs/>
                <w:sz w:val="28"/>
                <w:szCs w:val="28"/>
              </w:rPr>
              <w:t>数字影像云胶片服务</w:t>
            </w:r>
            <w:r>
              <w:rPr>
                <w:rFonts w:hint="eastAsia" w:ascii="仿宋_GB2312" w:hAnsi="仿宋_GB2312" w:eastAsia="仿宋_GB2312" w:cs="仿宋_GB2312"/>
                <w:b/>
                <w:bCs/>
                <w:sz w:val="28"/>
                <w:szCs w:val="28"/>
                <w:lang w:val="en-US" w:eastAsia="zh-CN"/>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pStyle w:val="14"/>
              <w:numPr>
                <w:ilvl w:val="1"/>
                <w:numId w:val="15"/>
              </w:numPr>
              <w:spacing w:line="400" w:lineRule="exact"/>
              <w:ind w:firstLineChars="0"/>
              <w:rPr>
                <w:rFonts w:hint="eastAsia" w:ascii="仿宋_GB2312" w:hAnsi="仿宋_GB2312" w:eastAsia="仿宋_GB2312" w:cs="仿宋_GB2312"/>
                <w:szCs w:val="28"/>
              </w:rPr>
            </w:pPr>
          </w:p>
        </w:tc>
        <w:tc>
          <w:tcPr>
            <w:tcW w:w="14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数字影像服务</w:t>
            </w:r>
          </w:p>
        </w:tc>
        <w:tc>
          <w:tcPr>
            <w:tcW w:w="52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数字影像</w:t>
            </w:r>
            <w:r>
              <w:rPr>
                <w:rFonts w:hint="eastAsia" w:ascii="仿宋_GB2312" w:hAnsi="仿宋_GB2312" w:eastAsia="仿宋_GB2312" w:cs="仿宋_GB2312"/>
                <w:kern w:val="24"/>
                <w:sz w:val="28"/>
                <w:szCs w:val="28"/>
              </w:rPr>
              <w:t>服务，提供医技检查数据的存储和备份管理服务；医技检查数据的面向患者的移动调阅服务</w:t>
            </w:r>
          </w:p>
        </w:tc>
        <w:tc>
          <w:tcPr>
            <w:tcW w:w="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宋体"/>
                <w:sz w:val="28"/>
                <w:szCs w:val="28"/>
              </w:rPr>
            </w:pPr>
            <w:r>
              <w:rPr>
                <w:rFonts w:hint="eastAsia" w:ascii="仿宋" w:hAnsi="仿宋" w:eastAsia="仿宋"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pStyle w:val="14"/>
              <w:numPr>
                <w:ilvl w:val="1"/>
                <w:numId w:val="15"/>
              </w:numPr>
              <w:spacing w:line="400" w:lineRule="exact"/>
              <w:ind w:firstLineChars="0"/>
              <w:rPr>
                <w:rFonts w:hint="eastAsia" w:ascii="仿宋_GB2312" w:hAnsi="仿宋_GB2312" w:eastAsia="仿宋_GB2312" w:cs="仿宋_GB2312"/>
                <w:szCs w:val="28"/>
              </w:rPr>
            </w:pPr>
          </w:p>
        </w:tc>
        <w:tc>
          <w:tcPr>
            <w:tcW w:w="1475"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数字影像前置服务</w:t>
            </w:r>
          </w:p>
        </w:tc>
        <w:tc>
          <w:tcPr>
            <w:tcW w:w="52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实现院内PACS影像集成平台的医技检查数据（CT及MRI检查原始影像、检查报告）与影像云平台的对接</w:t>
            </w:r>
          </w:p>
        </w:tc>
        <w:tc>
          <w:tcPr>
            <w:tcW w:w="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宋体"/>
                <w:sz w:val="28"/>
                <w:szCs w:val="28"/>
              </w:rPr>
            </w:pPr>
            <w:r>
              <w:rPr>
                <w:rFonts w:hint="eastAsia" w:ascii="仿宋" w:hAnsi="仿宋" w:eastAsia="仿宋"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pStyle w:val="14"/>
              <w:numPr>
                <w:ilvl w:val="1"/>
                <w:numId w:val="15"/>
              </w:numPr>
              <w:spacing w:line="400" w:lineRule="exact"/>
              <w:ind w:firstLineChars="0"/>
              <w:rPr>
                <w:rFonts w:hint="eastAsia" w:ascii="仿宋_GB2312" w:hAnsi="仿宋_GB2312" w:eastAsia="仿宋_GB2312" w:cs="仿宋_GB2312"/>
                <w:szCs w:val="28"/>
              </w:rPr>
            </w:pPr>
          </w:p>
        </w:tc>
        <w:tc>
          <w:tcPr>
            <w:tcW w:w="1475" w:type="dxa"/>
            <w:vMerge w:val="continue"/>
            <w:tcBorders>
              <w:left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8"/>
              </w:rPr>
            </w:pPr>
          </w:p>
        </w:tc>
        <w:tc>
          <w:tcPr>
            <w:tcW w:w="52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影像检查报告、影像数据的调阅、同步和下载流程管理</w:t>
            </w:r>
          </w:p>
        </w:tc>
        <w:tc>
          <w:tcPr>
            <w:tcW w:w="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宋体"/>
                <w:sz w:val="28"/>
                <w:szCs w:val="28"/>
              </w:rPr>
            </w:pPr>
            <w:r>
              <w:rPr>
                <w:rFonts w:hint="eastAsia" w:ascii="仿宋" w:hAnsi="仿宋" w:eastAsia="仿宋"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924" w:type="dxa"/>
            <w:tcBorders>
              <w:top w:val="single" w:color="auto" w:sz="4" w:space="0"/>
              <w:left w:val="single" w:color="auto" w:sz="4" w:space="0"/>
              <w:right w:val="single" w:color="auto" w:sz="4" w:space="0"/>
            </w:tcBorders>
            <w:vAlign w:val="center"/>
          </w:tcPr>
          <w:p>
            <w:pPr>
              <w:pStyle w:val="14"/>
              <w:numPr>
                <w:ilvl w:val="1"/>
                <w:numId w:val="15"/>
              </w:numPr>
              <w:spacing w:line="400" w:lineRule="exact"/>
              <w:ind w:firstLineChars="0"/>
              <w:rPr>
                <w:rFonts w:hint="eastAsia" w:ascii="仿宋_GB2312" w:hAnsi="仿宋_GB2312" w:eastAsia="仿宋_GB2312" w:cs="仿宋_GB2312"/>
                <w:szCs w:val="28"/>
              </w:rPr>
            </w:pPr>
          </w:p>
        </w:tc>
        <w:tc>
          <w:tcPr>
            <w:tcW w:w="1475"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数字影像（云胶片）服务</w:t>
            </w:r>
          </w:p>
        </w:tc>
        <w:tc>
          <w:tcPr>
            <w:tcW w:w="52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患者线下自助报告打印服务，报告含二维码</w:t>
            </w:r>
          </w:p>
        </w:tc>
        <w:tc>
          <w:tcPr>
            <w:tcW w:w="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宋体"/>
                <w:sz w:val="28"/>
                <w:szCs w:val="28"/>
              </w:rPr>
            </w:pPr>
            <w:r>
              <w:rPr>
                <w:rFonts w:hint="eastAsia" w:ascii="仿宋" w:hAnsi="仿宋" w:eastAsia="仿宋"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9" w:hRule="atLeast"/>
          <w:jc w:val="center"/>
        </w:trPr>
        <w:tc>
          <w:tcPr>
            <w:tcW w:w="924" w:type="dxa"/>
            <w:tcBorders>
              <w:left w:val="single" w:color="auto" w:sz="4" w:space="0"/>
              <w:bottom w:val="single" w:color="auto" w:sz="4" w:space="0"/>
              <w:right w:val="single" w:color="auto" w:sz="4" w:space="0"/>
            </w:tcBorders>
            <w:vAlign w:val="center"/>
          </w:tcPr>
          <w:p>
            <w:pPr>
              <w:pStyle w:val="14"/>
              <w:numPr>
                <w:ilvl w:val="1"/>
                <w:numId w:val="15"/>
              </w:numPr>
              <w:spacing w:line="400" w:lineRule="exact"/>
              <w:ind w:firstLineChars="0"/>
              <w:rPr>
                <w:rFonts w:hint="eastAsia" w:ascii="仿宋_GB2312" w:hAnsi="仿宋_GB2312" w:eastAsia="仿宋_GB2312" w:cs="仿宋_GB2312"/>
                <w:szCs w:val="28"/>
              </w:rPr>
            </w:pPr>
          </w:p>
        </w:tc>
        <w:tc>
          <w:tcPr>
            <w:tcW w:w="1475" w:type="dxa"/>
            <w:vMerge w:val="continue"/>
            <w:tcBorders>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p>
        </w:tc>
        <w:tc>
          <w:tcPr>
            <w:tcW w:w="52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患者通过移动终端扫描二维码或通过短信链接、医院微信公众号调阅医技报告及电子胶片、原始影像。</w:t>
            </w:r>
            <w:r>
              <w:rPr>
                <w:rFonts w:hint="eastAsia" w:ascii="仿宋" w:hAnsi="仿宋" w:eastAsia="仿宋" w:cs="宋体"/>
                <w:sz w:val="28"/>
                <w:szCs w:val="28"/>
              </w:rPr>
              <w:t>调阅过程支持手机号码、身份证号码的患者身份验证。</w:t>
            </w:r>
          </w:p>
        </w:tc>
        <w:tc>
          <w:tcPr>
            <w:tcW w:w="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宋体"/>
                <w:sz w:val="28"/>
                <w:szCs w:val="28"/>
              </w:rPr>
            </w:pPr>
            <w:r>
              <w:rPr>
                <w:rFonts w:hint="eastAsia" w:ascii="仿宋" w:hAnsi="仿宋" w:eastAsia="仿宋"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w:t>
            </w:r>
          </w:p>
        </w:tc>
        <w:tc>
          <w:tcPr>
            <w:tcW w:w="7698" w:type="dxa"/>
            <w:gridSpan w:val="3"/>
            <w:tcBorders>
              <w:top w:val="single" w:color="auto" w:sz="4" w:space="0"/>
              <w:left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院内系统集成服务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pStyle w:val="14"/>
              <w:numPr>
                <w:ilvl w:val="1"/>
                <w:numId w:val="16"/>
              </w:numPr>
              <w:spacing w:line="400" w:lineRule="exact"/>
              <w:ind w:firstLineChars="0"/>
              <w:rPr>
                <w:rFonts w:hint="eastAsia" w:ascii="仿宋_GB2312" w:hAnsi="仿宋_GB2312" w:eastAsia="仿宋_GB2312" w:cs="仿宋_GB2312"/>
                <w:szCs w:val="28"/>
              </w:rPr>
            </w:pPr>
          </w:p>
        </w:tc>
        <w:tc>
          <w:tcPr>
            <w:tcW w:w="1475" w:type="dxa"/>
            <w:tcBorders>
              <w:top w:val="single" w:color="auto" w:sz="4" w:space="0"/>
              <w:left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集成改造服务</w:t>
            </w:r>
          </w:p>
        </w:tc>
        <w:tc>
          <w:tcPr>
            <w:tcW w:w="52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与院内PACS系统集成接口服务、与医院业务系统（包括自助打印系统、微信公众号、短信服务平台等）、与HIS系统的对接</w:t>
            </w:r>
          </w:p>
        </w:tc>
        <w:tc>
          <w:tcPr>
            <w:tcW w:w="9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宋体"/>
                <w:sz w:val="28"/>
                <w:szCs w:val="28"/>
              </w:rPr>
            </w:pPr>
            <w:r>
              <w:rPr>
                <w:rFonts w:hint="eastAsia" w:ascii="仿宋" w:hAnsi="仿宋" w:eastAsia="仿宋" w:cs="宋体"/>
                <w:sz w:val="28"/>
                <w:szCs w:val="28"/>
              </w:rPr>
              <w:t>1</w:t>
            </w:r>
          </w:p>
        </w:tc>
      </w:tr>
    </w:tbl>
    <w:p>
      <w:pPr>
        <w:rPr>
          <w:rFonts w:hint="eastAsia" w:ascii="仿宋" w:hAnsi="仿宋" w:eastAsia="仿宋" w:cs="宋体"/>
          <w:sz w:val="28"/>
          <w:szCs w:val="28"/>
        </w:rPr>
      </w:pPr>
      <w:r>
        <w:rPr>
          <w:rFonts w:ascii="仿宋" w:hAnsi="仿宋" w:eastAsia="仿宋" w:cs="宋体"/>
          <w:sz w:val="28"/>
          <w:szCs w:val="28"/>
        </w:rPr>
        <w:br w:type="page"/>
      </w:r>
    </w:p>
    <w:p>
      <w:pPr>
        <w:pStyle w:val="2"/>
      </w:pPr>
      <w:r>
        <w:rPr>
          <w:rFonts w:hint="eastAsia"/>
        </w:rPr>
        <w:t>系统</w:t>
      </w:r>
      <w:r>
        <w:t>功能需求</w:t>
      </w:r>
    </w:p>
    <w:p>
      <w:pPr>
        <w:pStyle w:val="3"/>
      </w:pPr>
      <w:r>
        <w:rPr>
          <w:rFonts w:hint="eastAsia"/>
        </w:rPr>
        <w:t>数字影像云胶片服务</w:t>
      </w:r>
      <w:r>
        <w:rPr>
          <w:rFonts w:hint="eastAsia"/>
          <w:lang w:val="en-US" w:eastAsia="zh-CN"/>
        </w:rPr>
        <w:t>系统</w:t>
      </w:r>
      <w:r>
        <w:rPr>
          <w:rFonts w:hint="eastAsia"/>
        </w:rPr>
        <w:t>技术要求</w:t>
      </w:r>
    </w:p>
    <w:tbl>
      <w:tblPr>
        <w:tblStyle w:val="8"/>
        <w:tblW w:w="8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blHeader/>
          <w:jc w:val="center"/>
        </w:trPr>
        <w:tc>
          <w:tcPr>
            <w:tcW w:w="1868" w:type="dxa"/>
            <w:shd w:val="clear" w:color="auto" w:fill="D9D9D9"/>
            <w:vAlign w:val="center"/>
          </w:tcPr>
          <w:p>
            <w:pPr>
              <w:pStyle w:val="15"/>
              <w:spacing w:line="400" w:lineRule="exact"/>
              <w:ind w:left="105" w:right="105"/>
              <w:jc w:val="left"/>
              <w:rPr>
                <w:rFonts w:hint="eastAsia" w:ascii="仿宋" w:hAnsi="仿宋" w:cs="宋体"/>
                <w:b/>
                <w:sz w:val="28"/>
                <w:szCs w:val="28"/>
              </w:rPr>
            </w:pPr>
            <w:r>
              <w:rPr>
                <w:rFonts w:hint="eastAsia" w:ascii="仿宋" w:hAnsi="仿宋" w:cs="宋体"/>
                <w:b/>
                <w:sz w:val="28"/>
                <w:szCs w:val="28"/>
              </w:rPr>
              <w:t>序号</w:t>
            </w:r>
          </w:p>
        </w:tc>
        <w:tc>
          <w:tcPr>
            <w:tcW w:w="6203" w:type="dxa"/>
            <w:shd w:val="clear" w:color="auto" w:fill="D9D9D9"/>
            <w:vAlign w:val="center"/>
          </w:tcPr>
          <w:p>
            <w:pPr>
              <w:pStyle w:val="15"/>
              <w:spacing w:line="400" w:lineRule="exact"/>
              <w:ind w:left="105" w:right="105" w:firstLine="422"/>
              <w:rPr>
                <w:rFonts w:hint="eastAsia" w:ascii="仿宋" w:hAnsi="仿宋" w:cs="宋体"/>
                <w:b/>
                <w:sz w:val="28"/>
                <w:szCs w:val="28"/>
              </w:rPr>
            </w:pPr>
            <w:r>
              <w:rPr>
                <w:rFonts w:hint="eastAsia" w:ascii="仿宋" w:hAnsi="仿宋" w:cs="宋体"/>
                <w:b/>
                <w:sz w:val="28"/>
                <w:szCs w:val="28"/>
              </w:rPr>
              <w:t>招标功能要求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868" w:type="dxa"/>
            <w:vAlign w:val="center"/>
          </w:tcPr>
          <w:p>
            <w:pPr>
              <w:pStyle w:val="15"/>
              <w:spacing w:line="400" w:lineRule="exact"/>
              <w:rPr>
                <w:rFonts w:hint="eastAsia" w:ascii="仿宋" w:hAnsi="仿宋" w:cs="宋体"/>
                <w:b/>
                <w:sz w:val="28"/>
                <w:szCs w:val="28"/>
              </w:rPr>
            </w:pPr>
            <w:r>
              <w:rPr>
                <w:rFonts w:hint="eastAsia" w:ascii="仿宋" w:hAnsi="仿宋" w:cs="宋体"/>
                <w:b/>
                <w:sz w:val="28"/>
                <w:szCs w:val="28"/>
              </w:rPr>
              <w:t>1</w:t>
            </w:r>
          </w:p>
        </w:tc>
        <w:tc>
          <w:tcPr>
            <w:tcW w:w="6203" w:type="dxa"/>
            <w:vAlign w:val="center"/>
          </w:tcPr>
          <w:p>
            <w:pPr>
              <w:pStyle w:val="15"/>
              <w:spacing w:line="400" w:lineRule="exact"/>
              <w:ind w:right="105"/>
              <w:jc w:val="left"/>
              <w:rPr>
                <w:rFonts w:hint="eastAsia" w:ascii="仿宋" w:hAnsi="仿宋" w:cs="宋体"/>
                <w:b/>
                <w:sz w:val="28"/>
                <w:szCs w:val="28"/>
              </w:rPr>
            </w:pPr>
            <w:r>
              <w:rPr>
                <w:rFonts w:hint="eastAsia" w:ascii="仿宋" w:hAnsi="仿宋" w:cs="宋体"/>
                <w:b/>
                <w:sz w:val="28"/>
                <w:szCs w:val="28"/>
              </w:rPr>
              <w:t>综合功能要求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868" w:type="dxa"/>
            <w:vAlign w:val="center"/>
          </w:tcPr>
          <w:p>
            <w:pPr>
              <w:pStyle w:val="15"/>
              <w:numPr>
                <w:ilvl w:val="0"/>
                <w:numId w:val="17"/>
              </w:numPr>
              <w:spacing w:line="400" w:lineRule="exact"/>
              <w:rPr>
                <w:rFonts w:hint="eastAsia" w:ascii="仿宋" w:hAnsi="仿宋" w:cs="宋体"/>
                <w:sz w:val="28"/>
                <w:szCs w:val="28"/>
              </w:rPr>
            </w:pPr>
            <w:r>
              <w:rPr>
                <w:rFonts w:hint="eastAsia" w:ascii="仿宋" w:hAnsi="仿宋" w:cs="宋体"/>
                <w:sz w:val="28"/>
                <w:szCs w:val="28"/>
              </w:rPr>
              <w:t>▲</w:t>
            </w:r>
          </w:p>
        </w:tc>
        <w:tc>
          <w:tcPr>
            <w:tcW w:w="6203" w:type="dxa"/>
            <w:vAlign w:val="center"/>
          </w:tcPr>
          <w:p>
            <w:pPr>
              <w:pStyle w:val="15"/>
              <w:spacing w:line="400" w:lineRule="exact"/>
              <w:ind w:right="105"/>
              <w:jc w:val="left"/>
              <w:rPr>
                <w:rFonts w:hint="eastAsia" w:ascii="仿宋" w:hAnsi="仿宋" w:cs="宋体"/>
                <w:sz w:val="28"/>
                <w:szCs w:val="28"/>
              </w:rPr>
            </w:pPr>
            <w:r>
              <w:rPr>
                <w:rFonts w:hint="eastAsia" w:ascii="仿宋" w:hAnsi="仿宋" w:cs="宋体"/>
                <w:sz w:val="28"/>
                <w:szCs w:val="28"/>
              </w:rPr>
              <w:t>投标人承诺可实现移动端医学影像浏览功能，支持DICOM影像的在线显示和后处理，提供投标人所投软件原厂商拥有医学影像类系统软件医疗器械注册证证书（注册证组成中须明确包含数字影像服务或云胶片/云电子胶片，否则视为负偏离。提供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868" w:type="dxa"/>
            <w:vAlign w:val="center"/>
          </w:tcPr>
          <w:p>
            <w:pPr>
              <w:pStyle w:val="15"/>
              <w:numPr>
                <w:ilvl w:val="0"/>
                <w:numId w:val="17"/>
              </w:numPr>
              <w:spacing w:line="400" w:lineRule="exact"/>
              <w:rPr>
                <w:rFonts w:hint="eastAsia" w:ascii="仿宋" w:hAnsi="仿宋" w:cs="宋体"/>
                <w:sz w:val="28"/>
                <w:szCs w:val="28"/>
              </w:rPr>
            </w:pPr>
          </w:p>
        </w:tc>
        <w:tc>
          <w:tcPr>
            <w:tcW w:w="6203" w:type="dxa"/>
            <w:vAlign w:val="center"/>
          </w:tcPr>
          <w:p>
            <w:pPr>
              <w:pStyle w:val="15"/>
              <w:spacing w:line="400" w:lineRule="exact"/>
              <w:ind w:right="105"/>
              <w:jc w:val="left"/>
              <w:rPr>
                <w:rFonts w:hint="eastAsia" w:ascii="仿宋" w:hAnsi="仿宋" w:cs="宋体"/>
                <w:sz w:val="28"/>
                <w:szCs w:val="28"/>
              </w:rPr>
            </w:pPr>
            <w:r>
              <w:rPr>
                <w:rFonts w:hint="eastAsia" w:ascii="仿宋" w:hAnsi="仿宋" w:cs="宋体"/>
                <w:sz w:val="28"/>
                <w:szCs w:val="28"/>
              </w:rPr>
              <w:t xml:space="preserve">全面的检查数据共享及影像云归档服务，检查数据存储服务，数据查询和提取服务，权限管理、工作流程管理，病人主索引管理(MPI)，检查注册表管理，数据交换和系统集成服务等。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jc w:val="center"/>
        </w:trPr>
        <w:tc>
          <w:tcPr>
            <w:tcW w:w="1868" w:type="dxa"/>
            <w:vAlign w:val="center"/>
          </w:tcPr>
          <w:p>
            <w:pPr>
              <w:pStyle w:val="15"/>
              <w:numPr>
                <w:ilvl w:val="0"/>
                <w:numId w:val="17"/>
              </w:numPr>
              <w:spacing w:line="400" w:lineRule="exact"/>
              <w:rPr>
                <w:rFonts w:hint="eastAsia" w:ascii="仿宋" w:hAnsi="仿宋" w:cs="宋体"/>
                <w:sz w:val="28"/>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统计和管理。平台应该提供基于医院数据上传和调阅等的统计服务，统计管理支持Web方式的表格展示和图表展示，支持对比和图表的动态过滤展示，支持导出。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868" w:type="dxa"/>
            <w:vAlign w:val="center"/>
          </w:tcPr>
          <w:p>
            <w:pPr>
              <w:pStyle w:val="15"/>
              <w:numPr>
                <w:ilvl w:val="0"/>
                <w:numId w:val="17"/>
              </w:numPr>
              <w:spacing w:line="400" w:lineRule="exact"/>
              <w:rPr>
                <w:rFonts w:hint="eastAsia" w:ascii="仿宋" w:hAnsi="仿宋" w:cs="宋体"/>
                <w:sz w:val="28"/>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权限管理。提供自定义和可扩展的权限管理模式，支持包括功能、数据和访问等不同维度的控制，并能对所有的数据访问进行记录和追踪。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868" w:type="dxa"/>
            <w:vAlign w:val="center"/>
          </w:tcPr>
          <w:p>
            <w:pPr>
              <w:pStyle w:val="15"/>
              <w:numPr>
                <w:ilvl w:val="0"/>
                <w:numId w:val="17"/>
              </w:numPr>
              <w:spacing w:line="400" w:lineRule="exact"/>
              <w:rPr>
                <w:rFonts w:hint="eastAsia" w:ascii="仿宋" w:hAnsi="仿宋" w:cs="宋体"/>
                <w:sz w:val="28"/>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隐私保护，提供必要的限制手段保证医院的隐私和患者的隐私。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868" w:type="dxa"/>
            <w:vAlign w:val="center"/>
          </w:tcPr>
          <w:p>
            <w:pPr>
              <w:pStyle w:val="15"/>
              <w:numPr>
                <w:ilvl w:val="0"/>
                <w:numId w:val="17"/>
              </w:numPr>
              <w:spacing w:line="400" w:lineRule="exact"/>
              <w:rPr>
                <w:rFonts w:hint="eastAsia" w:ascii="仿宋" w:hAnsi="仿宋" w:cs="宋体"/>
                <w:sz w:val="28"/>
                <w:szCs w:val="28"/>
              </w:rPr>
            </w:pPr>
            <w:r>
              <w:rPr>
                <w:rFonts w:hint="eastAsia" w:ascii="仿宋" w:hAnsi="仿宋" w:cs="宋体"/>
                <w:sz w:val="28"/>
                <w:szCs w:val="28"/>
              </w:rPr>
              <w:t>▲</w:t>
            </w: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访问服务，能够针对检查数据访问需求提供安全、方便的检查数据访问服务。能够与医院各信息系统之间实现数据共享。患者可以利用互联网，在通过身份验证后，调阅其当前或者历史的检查资料和原始影像。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68" w:type="dxa"/>
            <w:vAlign w:val="center"/>
          </w:tcPr>
          <w:p>
            <w:pPr>
              <w:pStyle w:val="15"/>
              <w:spacing w:line="400" w:lineRule="exact"/>
              <w:ind w:right="105"/>
              <w:rPr>
                <w:rFonts w:hint="eastAsia" w:ascii="仿宋" w:hAnsi="仿宋" w:cs="宋体"/>
                <w:b/>
                <w:sz w:val="28"/>
                <w:szCs w:val="28"/>
              </w:rPr>
            </w:pPr>
            <w:r>
              <w:rPr>
                <w:rFonts w:hint="eastAsia" w:ascii="仿宋" w:hAnsi="仿宋" w:cs="宋体"/>
                <w:b/>
                <w:sz w:val="28"/>
                <w:szCs w:val="28"/>
              </w:rPr>
              <w:t>2</w:t>
            </w:r>
          </w:p>
        </w:tc>
        <w:tc>
          <w:tcPr>
            <w:tcW w:w="6203" w:type="dxa"/>
            <w:vAlign w:val="center"/>
          </w:tcPr>
          <w:p>
            <w:pPr>
              <w:pStyle w:val="15"/>
              <w:spacing w:line="400" w:lineRule="exact"/>
              <w:ind w:right="105"/>
              <w:jc w:val="left"/>
              <w:rPr>
                <w:rFonts w:hint="eastAsia" w:ascii="仿宋" w:hAnsi="仿宋" w:cs="宋体"/>
                <w:b/>
                <w:sz w:val="28"/>
                <w:szCs w:val="28"/>
              </w:rPr>
            </w:pPr>
            <w:r>
              <w:rPr>
                <w:rFonts w:hint="eastAsia" w:ascii="仿宋" w:hAnsi="仿宋" w:cs="宋体"/>
                <w:b/>
                <w:sz w:val="28"/>
                <w:szCs w:val="28"/>
              </w:rPr>
              <w:t>数字影像服务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支持影像数据的短期存储管理和长期存储管理；支持冗余存储技术和镜象存储方式。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采用数据库与影像数据分离存储方式，优化数据库设计，保障海量数据存储与检索的性能。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采用集中式数据库及独立影像储存管理机制，记录所有影像的储存位置，支持影像的分级存储。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存储服务能够自动管理在线设备与离线设备之间数据的迁移和恢复，能够提供用户可配置设备的迁移策略。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r>
              <w:rPr>
                <w:rFonts w:hint="eastAsia" w:ascii="仿宋" w:hAnsi="仿宋"/>
                <w:szCs w:val="28"/>
              </w:rPr>
              <w:t>▲</w:t>
            </w: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支持DICOM3.0数据无损压缩算法，压缩比例大于2:1；（提供投标人或软件原厂商的具有 CNAS 或 CMA 认证的检验机构出具的检测报告。）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提供存储设备的在线实时监控功能，能自动提示设备存储性能和剩余空间预警。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提供数据注册、更新、删除等操作的详细日志记录，提供日志审计功能。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支持对象存储。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支持患者身份注册、患者交叉索引查询、患者信息查询、患者注册信息辅助管理。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支持文档存储查询、文档索引辅助管理、文档索引注册。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支持数据集成和界面集成两种方式访问共享的检查数据。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r>
              <w:rPr>
                <w:rFonts w:hint="eastAsia" w:ascii="仿宋" w:hAnsi="仿宋" w:cs="宋体"/>
                <w:szCs w:val="28"/>
              </w:rPr>
              <w:t>▲</w:t>
            </w: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支持检查共享文档的查询操作，通过患者编号，可查询该患者PDF格式的检查报告和关键影像清单。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r>
              <w:rPr>
                <w:rFonts w:hint="eastAsia" w:ascii="仿宋" w:hAnsi="仿宋"/>
                <w:szCs w:val="28"/>
              </w:rPr>
              <w:t>▲</w:t>
            </w: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sz w:val="28"/>
                <w:szCs w:val="28"/>
              </w:rPr>
              <w:t>系统信息交换具备标准化，提供投标人或软件原厂商通过中国医疗卫生信息互联互通技术联盟组织的快捷医疗互操作资源互联互通（FHIR）的测试，包含患者、就诊、检查申请、检查报告、预约、审计等6个场景。（提供测试的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提供WebService、DICOM Query/Retrieve、HTTP、FTP等接口和方式查询并提取检查数据，参数及返回数据需加密。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r>
              <w:rPr>
                <w:rFonts w:hint="eastAsia" w:ascii="仿宋" w:hAnsi="仿宋" w:cs="宋体"/>
                <w:szCs w:val="28"/>
              </w:rPr>
              <w:t>▲</w:t>
            </w: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提供网页的方式访问检查数据，支持按照医疗机构、医技系统、身份证号、患者编号、姓名、检查编号等条件查询检查记录列表。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trike/>
                <w:sz w:val="28"/>
                <w:szCs w:val="28"/>
              </w:rPr>
            </w:pPr>
            <w:r>
              <w:rPr>
                <w:rFonts w:hint="eastAsia" w:ascii="仿宋" w:hAnsi="仿宋" w:cs="宋体"/>
                <w:sz w:val="28"/>
                <w:szCs w:val="28"/>
              </w:rPr>
              <w:t>提供网页的方式（非ActiveX控件）进行PDF图文报告、DICOM影像、病理切片图像、心电波形的浏览。（提供软件界面截图）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b/>
                <w:sz w:val="28"/>
                <w:szCs w:val="28"/>
              </w:rPr>
            </w:pPr>
            <w:r>
              <w:rPr>
                <w:rFonts w:hint="eastAsia" w:ascii="仿宋" w:hAnsi="仿宋" w:cs="宋体"/>
                <w:b/>
                <w:sz w:val="28"/>
                <w:szCs w:val="28"/>
              </w:rPr>
              <w:t>数据集成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spacing w:line="400" w:lineRule="exact"/>
              <w:rPr>
                <w:rFonts w:hint="eastAsia" w:ascii="仿宋" w:hAnsi="仿宋" w:eastAsia="仿宋" w:cs="宋体"/>
                <w:bCs/>
                <w:sz w:val="28"/>
                <w:szCs w:val="28"/>
                <w:lang w:val="nl-NL"/>
              </w:rPr>
            </w:pPr>
            <w:r>
              <w:rPr>
                <w:rFonts w:hint="eastAsia" w:ascii="仿宋" w:hAnsi="仿宋" w:eastAsia="仿宋" w:cs="宋体"/>
                <w:bCs/>
                <w:sz w:val="28"/>
                <w:szCs w:val="28"/>
                <w:lang w:val="nl-NL"/>
              </w:rPr>
              <w:t>实现通讯协议转换、数据结构转化、医学术语转换和医疗消息智能路由等医疗信息集成与交换的关键技术。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spacing w:line="400" w:lineRule="exact"/>
              <w:rPr>
                <w:rFonts w:hint="eastAsia" w:ascii="仿宋" w:hAnsi="仿宋" w:eastAsia="仿宋" w:cs="宋体"/>
                <w:bCs/>
                <w:sz w:val="28"/>
                <w:szCs w:val="28"/>
                <w:lang w:val="nl-NL"/>
              </w:rPr>
            </w:pPr>
            <w:r>
              <w:rPr>
                <w:rFonts w:hint="eastAsia" w:ascii="仿宋" w:hAnsi="仿宋" w:eastAsia="仿宋" w:cs="宋体"/>
                <w:bCs/>
                <w:sz w:val="28"/>
                <w:szCs w:val="28"/>
                <w:lang w:val="nl-NL"/>
              </w:rPr>
              <w:t>支持各种医疗信息标准：HL7 v2.x、HL7 v3、X12、XML、DICOM、EDI、NCPDP、Delimited Text等。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68" w:type="dxa"/>
            <w:vAlign w:val="center"/>
          </w:tcPr>
          <w:p>
            <w:pPr>
              <w:pStyle w:val="14"/>
              <w:numPr>
                <w:ilvl w:val="0"/>
                <w:numId w:val="18"/>
              </w:numPr>
              <w:ind w:firstLineChars="0"/>
              <w:rPr>
                <w:rFonts w:hint="eastAsia" w:ascii="仿宋" w:hAnsi="仿宋" w:eastAsia="仿宋" w:cs="宋体"/>
                <w:szCs w:val="28"/>
                <w:lang w:val="nl-NL"/>
              </w:rPr>
            </w:pPr>
          </w:p>
        </w:tc>
        <w:tc>
          <w:tcPr>
            <w:tcW w:w="6203" w:type="dxa"/>
            <w:vAlign w:val="center"/>
          </w:tcPr>
          <w:p>
            <w:pPr>
              <w:spacing w:line="400" w:lineRule="exact"/>
              <w:rPr>
                <w:rFonts w:hint="eastAsia" w:ascii="仿宋" w:hAnsi="仿宋" w:eastAsia="仿宋" w:cs="宋体"/>
                <w:bCs/>
                <w:sz w:val="28"/>
                <w:szCs w:val="28"/>
                <w:lang w:val="nl-NL"/>
              </w:rPr>
            </w:pPr>
            <w:r>
              <w:rPr>
                <w:rFonts w:hint="eastAsia" w:ascii="仿宋" w:hAnsi="仿宋" w:eastAsia="仿宋" w:cs="宋体"/>
                <w:bCs/>
                <w:sz w:val="28"/>
                <w:szCs w:val="28"/>
                <w:lang w:val="nl-NL"/>
              </w:rPr>
              <w:t>支持多种通用的协议：MLLP、TCP/IP、HTTP、Files、Database、S/FTP、Email、JMS、Web Services、PDF/RTF Documents、Custom Java and JavaScript等。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68" w:type="dxa"/>
            <w:vAlign w:val="center"/>
          </w:tcPr>
          <w:p>
            <w:pPr>
              <w:pStyle w:val="14"/>
              <w:numPr>
                <w:ilvl w:val="0"/>
                <w:numId w:val="18"/>
              </w:numPr>
              <w:ind w:firstLineChars="0"/>
              <w:rPr>
                <w:rFonts w:hint="eastAsia" w:ascii="仿宋" w:hAnsi="仿宋" w:eastAsia="仿宋" w:cs="宋体"/>
                <w:szCs w:val="28"/>
                <w:lang w:val="nl-NL"/>
              </w:rPr>
            </w:pPr>
          </w:p>
        </w:tc>
        <w:tc>
          <w:tcPr>
            <w:tcW w:w="6203" w:type="dxa"/>
            <w:vAlign w:val="center"/>
          </w:tcPr>
          <w:p>
            <w:pPr>
              <w:spacing w:line="400" w:lineRule="exact"/>
              <w:rPr>
                <w:rFonts w:hint="eastAsia" w:ascii="仿宋" w:hAnsi="仿宋" w:eastAsia="仿宋" w:cs="宋体"/>
                <w:bCs/>
                <w:sz w:val="28"/>
                <w:szCs w:val="28"/>
                <w:lang w:val="nl-NL"/>
              </w:rPr>
            </w:pPr>
            <w:r>
              <w:rPr>
                <w:rFonts w:hint="eastAsia" w:ascii="仿宋" w:hAnsi="仿宋" w:eastAsia="仿宋" w:cs="宋体"/>
                <w:bCs/>
                <w:sz w:val="28"/>
                <w:szCs w:val="28"/>
                <w:lang w:val="nl-NL"/>
              </w:rPr>
              <w:t>支持数据的转换和处理，支持灵活的集成接口定制和扩展，支持集成业务的持续优化和动态调整。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spacing w:line="400" w:lineRule="exact"/>
              <w:rPr>
                <w:rFonts w:hint="eastAsia" w:ascii="仿宋" w:hAnsi="仿宋" w:eastAsia="仿宋" w:cs="宋体"/>
                <w:bCs/>
                <w:sz w:val="28"/>
                <w:szCs w:val="28"/>
                <w:lang w:val="nl-NL"/>
              </w:rPr>
            </w:pPr>
            <w:r>
              <w:rPr>
                <w:rFonts w:hint="eastAsia" w:ascii="仿宋" w:hAnsi="仿宋" w:eastAsia="仿宋" w:cs="宋体"/>
                <w:bCs/>
                <w:sz w:val="28"/>
                <w:szCs w:val="28"/>
                <w:lang w:val="nl-NL"/>
              </w:rPr>
              <w:t>实现基于安全可靠的存储转发机制和消息重试机制，保障医疗信息准确可靠的送达数据中心，提供详细的系统运行和消息收发记录。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spacing w:line="400" w:lineRule="exact"/>
              <w:rPr>
                <w:rFonts w:hint="eastAsia" w:ascii="仿宋" w:hAnsi="仿宋" w:eastAsia="仿宋" w:cs="宋体"/>
                <w:bCs/>
                <w:sz w:val="28"/>
                <w:szCs w:val="28"/>
                <w:lang w:val="nl-NL"/>
              </w:rPr>
            </w:pPr>
            <w:r>
              <w:rPr>
                <w:rFonts w:hint="eastAsia" w:ascii="仿宋" w:hAnsi="仿宋" w:eastAsia="仿宋" w:cs="宋体"/>
                <w:bCs/>
                <w:sz w:val="28"/>
                <w:szCs w:val="28"/>
                <w:lang w:val="nl-NL"/>
              </w:rPr>
              <w:t>提供丰富的用户界面方便的集成接口开发和配置管理。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spacing w:line="400" w:lineRule="exact"/>
              <w:rPr>
                <w:rFonts w:hint="eastAsia" w:ascii="仿宋" w:hAnsi="仿宋" w:eastAsia="仿宋" w:cs="宋体"/>
                <w:bCs/>
                <w:sz w:val="28"/>
                <w:szCs w:val="28"/>
                <w:lang w:val="nl-NL"/>
              </w:rPr>
            </w:pPr>
            <w:r>
              <w:rPr>
                <w:rFonts w:hint="eastAsia" w:ascii="仿宋" w:hAnsi="仿宋" w:eastAsia="仿宋" w:cs="宋体"/>
                <w:bCs/>
                <w:sz w:val="28"/>
                <w:szCs w:val="28"/>
                <w:lang w:val="nl-NL"/>
              </w:rPr>
              <w:t>支持采集放射、超声、内镜、心电、病理、核医学、电生理等检查系统的数据（包括：扫描的申请单、知情同意书，检查图像、影像、波形，检查报告文本、图文）。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b/>
                <w:bCs/>
                <w:sz w:val="28"/>
                <w:szCs w:val="28"/>
              </w:rPr>
            </w:pPr>
            <w:r>
              <w:rPr>
                <w:rFonts w:hint="eastAsia" w:ascii="仿宋" w:hAnsi="仿宋" w:cs="宋体"/>
                <w:b/>
                <w:bCs/>
                <w:sz w:val="28"/>
                <w:szCs w:val="28"/>
              </w:rPr>
              <w:t>检查数据存储管理及集成浏览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支持瘦客户端技术，实现对患者的全面综合的临床数据访问，跨平台的影像浏览。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r>
              <w:rPr>
                <w:rFonts w:hint="eastAsia" w:ascii="仿宋" w:hAnsi="仿宋"/>
                <w:szCs w:val="28"/>
              </w:rPr>
              <w:t>▲</w:t>
            </w: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sz w:val="28"/>
                <w:szCs w:val="28"/>
              </w:rPr>
              <w:t>系统支持高性能影像调阅，调阅千幅CT图像的首屏时间≤3s。（提供投标人或软件原厂商的具有 CNAS 或 CMA 认证的检验机构出具的检测报告）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支持浏览各种医技检查报告，包括：放射影像、心电、超声、内镜、病理、</w:t>
            </w:r>
            <w:r>
              <w:rPr>
                <w:rFonts w:hint="eastAsia" w:ascii="仿宋" w:hAnsi="仿宋" w:cs="宋体"/>
                <w:bCs/>
                <w:sz w:val="28"/>
                <w:szCs w:val="28"/>
                <w:lang w:val="nl-NL"/>
              </w:rPr>
              <w:t>核医学</w:t>
            </w:r>
            <w:r>
              <w:rPr>
                <w:rFonts w:hint="eastAsia" w:ascii="仿宋" w:hAnsi="仿宋" w:cs="宋体"/>
                <w:sz w:val="28"/>
                <w:szCs w:val="28"/>
              </w:rPr>
              <w:t>等影像波形和图文报告。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多条件检索相关检查，包括但不局限于病历号、就诊号、申请号、检查号、病区、病房、病床、申请医生、检查医生、诊断医生、审核医生、就诊类型、检查系统、检查类型、检查状态、影像状态、会诊状态、打印报告状态、是否危机报告状态以及关键字自定义检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支持在多显示屏环境下可自动设定影像显示模式以适合屏幕大小及分辨率。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r>
              <w:rPr>
                <w:rFonts w:hint="eastAsia" w:ascii="仿宋" w:hAnsi="仿宋" w:eastAsia="仿宋" w:cs="宋体"/>
                <w:szCs w:val="28"/>
              </w:rPr>
              <w:t xml:space="preserve"> </w:t>
            </w: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基于HTML5技术实现，支持在PC、iOS、Android、鸿蒙等显示终端上，以无损的质量显示多类型的DICOM影像。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支持DICOM格式的单帧和多帧，灰阶和彩色影像显示。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支持DICOM封装的PDF图文报告显示。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提供DICOM影像的缩放、移动、旋转（L90，R90）、左右镜像、上下翻转、反相、播放、调窗（预设值、实时调节）、显示格式调整等功能。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提供DICOM影像测量功能：包括长度、角度、面积等。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r>
              <w:rPr>
                <w:rFonts w:hint="eastAsia" w:ascii="仿宋" w:hAnsi="仿宋"/>
                <w:szCs w:val="28"/>
              </w:rPr>
              <w:t>▲</w:t>
            </w: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提供DICOM影像重建功能：三维重建（VR）、多平面重建（MPR）、曲面重建、最大密度投影、最小密度投影、平均密度投影等功能。三维重建（VR）、多平面重建（MPR）速度≤2s（提供投标人或软件原厂商的具有 CNAS 或 CMA 认证的检验机构出具的检测报告）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提供检查缩略图功能，多序列影像可以通过缩略图实现显示切换。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4"/>
              <w:numPr>
                <w:ilvl w:val="0"/>
                <w:numId w:val="18"/>
              </w:numPr>
              <w:ind w:firstLineChars="0"/>
              <w:rPr>
                <w:rFonts w:hint="eastAsia" w:ascii="仿宋" w:hAnsi="仿宋" w:eastAsia="仿宋" w:cs="宋体"/>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提供多次检查影像的对比功能；不同序列可以实现同层或同步滚动。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1868" w:type="dxa"/>
            <w:shd w:val="clear" w:color="auto" w:fill="auto"/>
            <w:vAlign w:val="center"/>
          </w:tcPr>
          <w:p>
            <w:pPr>
              <w:spacing w:line="400" w:lineRule="exact"/>
              <w:jc w:val="center"/>
              <w:rPr>
                <w:rFonts w:hint="eastAsia" w:ascii="仿宋" w:hAnsi="仿宋" w:eastAsia="仿宋" w:cs="宋体"/>
                <w:sz w:val="28"/>
                <w:szCs w:val="28"/>
              </w:rPr>
            </w:pPr>
            <w:r>
              <w:rPr>
                <w:rFonts w:hint="eastAsia" w:ascii="仿宋" w:hAnsi="仿宋" w:cs="宋体"/>
                <w:b/>
                <w:sz w:val="28"/>
                <w:szCs w:val="28"/>
              </w:rPr>
              <w:t>3</w:t>
            </w:r>
          </w:p>
        </w:tc>
        <w:tc>
          <w:tcPr>
            <w:tcW w:w="6203" w:type="dxa"/>
            <w:shd w:val="clear" w:color="auto" w:fill="auto"/>
            <w:vAlign w:val="center"/>
          </w:tcPr>
          <w:p>
            <w:pPr>
              <w:pStyle w:val="15"/>
              <w:spacing w:line="400" w:lineRule="exact"/>
              <w:jc w:val="left"/>
              <w:rPr>
                <w:rFonts w:hint="eastAsia" w:ascii="仿宋" w:hAnsi="仿宋" w:cs="宋体"/>
                <w:b/>
                <w:sz w:val="28"/>
                <w:szCs w:val="28"/>
              </w:rPr>
            </w:pPr>
            <w:r>
              <w:rPr>
                <w:rFonts w:hint="eastAsia" w:ascii="仿宋" w:hAnsi="仿宋" w:cs="宋体"/>
                <w:b/>
                <w:sz w:val="28"/>
                <w:szCs w:val="28"/>
              </w:rPr>
              <w:t>数字影像前置服务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shd w:val="clear" w:color="auto" w:fill="auto"/>
            <w:vAlign w:val="center"/>
          </w:tcPr>
          <w:p>
            <w:pPr>
              <w:pStyle w:val="15"/>
              <w:numPr>
                <w:ilvl w:val="0"/>
                <w:numId w:val="19"/>
              </w:numPr>
              <w:tabs>
                <w:tab w:val="clear" w:pos="0"/>
              </w:tabs>
              <w:spacing w:line="400" w:lineRule="exact"/>
              <w:ind w:left="0" w:firstLine="0"/>
              <w:rPr>
                <w:rFonts w:hint="eastAsia" w:ascii="仿宋" w:hAnsi="仿宋" w:cs="宋体"/>
                <w:sz w:val="28"/>
                <w:szCs w:val="28"/>
              </w:rPr>
            </w:pPr>
          </w:p>
        </w:tc>
        <w:tc>
          <w:tcPr>
            <w:tcW w:w="6203" w:type="dxa"/>
            <w:shd w:val="clear" w:color="auto" w:fill="auto"/>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支持多种存储架构和存储介质；支持多重存储体系以及数据管理方式。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shd w:val="clear" w:color="auto" w:fill="auto"/>
            <w:vAlign w:val="center"/>
          </w:tcPr>
          <w:p>
            <w:pPr>
              <w:pStyle w:val="15"/>
              <w:numPr>
                <w:ilvl w:val="0"/>
                <w:numId w:val="19"/>
              </w:numPr>
              <w:tabs>
                <w:tab w:val="clear" w:pos="0"/>
              </w:tabs>
              <w:spacing w:line="400" w:lineRule="exact"/>
              <w:ind w:left="0" w:firstLine="0"/>
              <w:rPr>
                <w:rFonts w:hint="eastAsia" w:ascii="仿宋" w:hAnsi="仿宋" w:cs="宋体"/>
                <w:sz w:val="28"/>
                <w:szCs w:val="28"/>
              </w:rPr>
            </w:pPr>
          </w:p>
        </w:tc>
        <w:tc>
          <w:tcPr>
            <w:tcW w:w="6203" w:type="dxa"/>
            <w:shd w:val="clear" w:color="auto" w:fill="auto"/>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支持影像数据的存储管理；采用冗余存储技术和镜象存储方式。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shd w:val="clear" w:color="auto" w:fill="auto"/>
            <w:vAlign w:val="center"/>
          </w:tcPr>
          <w:p>
            <w:pPr>
              <w:pStyle w:val="15"/>
              <w:numPr>
                <w:ilvl w:val="0"/>
                <w:numId w:val="19"/>
              </w:numPr>
              <w:tabs>
                <w:tab w:val="clear" w:pos="0"/>
              </w:tabs>
              <w:spacing w:line="400" w:lineRule="exact"/>
              <w:ind w:left="0" w:firstLine="0"/>
              <w:rPr>
                <w:rFonts w:hint="eastAsia" w:ascii="仿宋" w:hAnsi="仿宋" w:cs="宋体"/>
                <w:sz w:val="28"/>
                <w:szCs w:val="28"/>
              </w:rPr>
            </w:pPr>
          </w:p>
        </w:tc>
        <w:tc>
          <w:tcPr>
            <w:tcW w:w="6203" w:type="dxa"/>
            <w:shd w:val="clear" w:color="auto" w:fill="auto"/>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存储服务能够自动管理在线设备与离线设备之间数据的迁移和恢复，能够提供用户可配置设备的迁移策略。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shd w:val="clear" w:color="auto" w:fill="auto"/>
            <w:vAlign w:val="center"/>
          </w:tcPr>
          <w:p>
            <w:pPr>
              <w:pStyle w:val="15"/>
              <w:numPr>
                <w:ilvl w:val="0"/>
                <w:numId w:val="19"/>
              </w:numPr>
              <w:tabs>
                <w:tab w:val="clear" w:pos="0"/>
              </w:tabs>
              <w:spacing w:line="400" w:lineRule="exact"/>
              <w:ind w:left="0" w:firstLine="0"/>
              <w:rPr>
                <w:rFonts w:hint="eastAsia" w:ascii="仿宋" w:hAnsi="仿宋" w:cs="宋体"/>
                <w:sz w:val="28"/>
                <w:szCs w:val="28"/>
              </w:rPr>
            </w:pPr>
          </w:p>
        </w:tc>
        <w:tc>
          <w:tcPr>
            <w:tcW w:w="6203" w:type="dxa"/>
            <w:shd w:val="clear" w:color="auto" w:fill="auto"/>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支持DICOM Q/R、FTP、WADO等多种方式与院内PACS系统集成采集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5"/>
              <w:spacing w:line="400" w:lineRule="exact"/>
              <w:rPr>
                <w:rFonts w:hint="eastAsia" w:ascii="仿宋" w:hAnsi="仿宋" w:cs="宋体"/>
                <w:b/>
                <w:sz w:val="28"/>
                <w:szCs w:val="28"/>
              </w:rPr>
            </w:pPr>
            <w:r>
              <w:rPr>
                <w:rFonts w:hint="eastAsia" w:ascii="仿宋" w:hAnsi="仿宋" w:cs="宋体"/>
                <w:b/>
                <w:sz w:val="28"/>
                <w:szCs w:val="28"/>
              </w:rPr>
              <w:t>4</w:t>
            </w:r>
          </w:p>
        </w:tc>
        <w:tc>
          <w:tcPr>
            <w:tcW w:w="6203" w:type="dxa"/>
            <w:vAlign w:val="center"/>
          </w:tcPr>
          <w:p>
            <w:pPr>
              <w:pStyle w:val="15"/>
              <w:spacing w:line="400" w:lineRule="exact"/>
              <w:jc w:val="left"/>
              <w:rPr>
                <w:rFonts w:hint="eastAsia" w:ascii="仿宋" w:hAnsi="仿宋" w:cs="宋体"/>
                <w:b/>
                <w:sz w:val="28"/>
                <w:szCs w:val="28"/>
              </w:rPr>
            </w:pPr>
            <w:r>
              <w:rPr>
                <w:rFonts w:hint="eastAsia" w:ascii="仿宋" w:hAnsi="仿宋" w:cs="宋体"/>
                <w:b/>
                <w:sz w:val="28"/>
                <w:szCs w:val="28"/>
              </w:rPr>
              <w:t>数字影像服务（云胶片）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5"/>
              <w:numPr>
                <w:ilvl w:val="0"/>
                <w:numId w:val="20"/>
              </w:numPr>
              <w:spacing w:line="400" w:lineRule="exact"/>
              <w:rPr>
                <w:rFonts w:hint="eastAsia" w:ascii="仿宋" w:hAnsi="仿宋" w:cs="宋体"/>
                <w:sz w:val="28"/>
                <w:szCs w:val="28"/>
              </w:rPr>
            </w:pPr>
            <w:r>
              <w:rPr>
                <w:rFonts w:hint="eastAsia" w:ascii="仿宋" w:hAnsi="仿宋"/>
                <w:sz w:val="28"/>
                <w:szCs w:val="28"/>
              </w:rPr>
              <w:t>▲</w:t>
            </w: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支持通过微信公众号、二维码等关联患者检查报告及原始影像的移动端浏览。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5"/>
              <w:numPr>
                <w:ilvl w:val="0"/>
                <w:numId w:val="20"/>
              </w:numPr>
              <w:spacing w:line="400" w:lineRule="exact"/>
              <w:rPr>
                <w:rFonts w:hint="eastAsia" w:ascii="仿宋" w:hAnsi="仿宋" w:cs="宋体"/>
                <w:sz w:val="28"/>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支持原始影像及报告的归档排列，支持移动端以直接翻页方式浏览相关检查数据。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5"/>
              <w:numPr>
                <w:ilvl w:val="0"/>
                <w:numId w:val="20"/>
              </w:numPr>
              <w:spacing w:line="400" w:lineRule="exact"/>
              <w:rPr>
                <w:rFonts w:hint="eastAsia" w:ascii="仿宋" w:hAnsi="仿宋" w:cs="宋体"/>
                <w:sz w:val="28"/>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支持医院医生工作站及移动端对DICOM影像的下载及浏览服务，支持移动端浏览影像，并具备测量、标注、窗宽床位调整、挂片、定位线等功能。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5"/>
              <w:numPr>
                <w:ilvl w:val="0"/>
                <w:numId w:val="20"/>
              </w:numPr>
              <w:spacing w:line="400" w:lineRule="exact"/>
              <w:rPr>
                <w:rFonts w:hint="eastAsia" w:ascii="仿宋" w:hAnsi="仿宋" w:cs="宋体"/>
                <w:sz w:val="28"/>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支持影像及诊断结果第一时间的移动端调阅服务，用户自定义时间开放调阅，满足移动端的快速调阅。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5"/>
              <w:numPr>
                <w:ilvl w:val="0"/>
                <w:numId w:val="20"/>
              </w:numPr>
              <w:spacing w:line="400" w:lineRule="exact"/>
              <w:rPr>
                <w:rFonts w:hint="eastAsia" w:ascii="仿宋" w:hAnsi="仿宋" w:cs="宋体"/>
                <w:sz w:val="28"/>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支持患者查看自己当前和历史检查报告和原始影像，综合了解病情和精准医疗。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868" w:type="dxa"/>
            <w:vAlign w:val="center"/>
          </w:tcPr>
          <w:p>
            <w:pPr>
              <w:pStyle w:val="15"/>
              <w:numPr>
                <w:ilvl w:val="0"/>
                <w:numId w:val="20"/>
              </w:numPr>
              <w:spacing w:line="400" w:lineRule="exact"/>
              <w:rPr>
                <w:rFonts w:hint="eastAsia" w:ascii="仿宋" w:hAnsi="仿宋" w:cs="宋体"/>
                <w:sz w:val="28"/>
                <w:szCs w:val="28"/>
              </w:rPr>
            </w:pPr>
          </w:p>
        </w:tc>
        <w:tc>
          <w:tcPr>
            <w:tcW w:w="6203"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支持患者通过链接分享，将当前检查影像分享给其他专家，为保护隐私分享时可以设置链接时效性。（提供手机端软件界面截图）</w:t>
            </w:r>
          </w:p>
        </w:tc>
      </w:tr>
    </w:tbl>
    <w:p>
      <w:pPr>
        <w:rPr>
          <w:rFonts w:hint="eastAsia"/>
        </w:rPr>
      </w:pPr>
    </w:p>
    <w:p>
      <w:pPr>
        <w:pStyle w:val="3"/>
        <w:rPr>
          <w:color w:val="000000"/>
        </w:rPr>
      </w:pPr>
      <w:r>
        <w:rPr>
          <w:rFonts w:hint="eastAsia"/>
          <w:color w:val="000000"/>
        </w:rPr>
        <w:t>院内系统集成服务技术要求</w:t>
      </w:r>
    </w:p>
    <w:tbl>
      <w:tblPr>
        <w:tblStyle w:val="8"/>
        <w:tblW w:w="8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blHeader/>
        </w:trPr>
        <w:tc>
          <w:tcPr>
            <w:tcW w:w="1526" w:type="dxa"/>
            <w:shd w:val="clear" w:color="auto" w:fill="D9D9D9"/>
            <w:vAlign w:val="center"/>
          </w:tcPr>
          <w:p>
            <w:pPr>
              <w:pStyle w:val="15"/>
              <w:spacing w:line="400" w:lineRule="exact"/>
              <w:rPr>
                <w:rFonts w:hint="eastAsia" w:ascii="仿宋" w:hAnsi="仿宋" w:cs="宋体"/>
                <w:b/>
                <w:bCs/>
                <w:sz w:val="28"/>
                <w:szCs w:val="28"/>
              </w:rPr>
            </w:pPr>
            <w:r>
              <w:rPr>
                <w:rFonts w:hint="eastAsia" w:ascii="仿宋" w:hAnsi="仿宋" w:cs="宋体"/>
                <w:b/>
                <w:bCs/>
                <w:sz w:val="28"/>
                <w:szCs w:val="28"/>
              </w:rPr>
              <w:t>序号</w:t>
            </w:r>
          </w:p>
        </w:tc>
        <w:tc>
          <w:tcPr>
            <w:tcW w:w="6508" w:type="dxa"/>
            <w:shd w:val="clear" w:color="auto" w:fill="D9D9D9"/>
            <w:vAlign w:val="center"/>
          </w:tcPr>
          <w:p>
            <w:pPr>
              <w:pStyle w:val="15"/>
              <w:spacing w:line="400" w:lineRule="exact"/>
              <w:ind w:firstLine="482"/>
              <w:rPr>
                <w:rFonts w:hint="eastAsia" w:ascii="仿宋" w:hAnsi="仿宋" w:cs="宋体"/>
                <w:b/>
                <w:bCs/>
                <w:sz w:val="28"/>
                <w:szCs w:val="28"/>
              </w:rPr>
            </w:pPr>
            <w:r>
              <w:rPr>
                <w:rFonts w:hint="eastAsia" w:ascii="仿宋" w:hAnsi="仿宋" w:cs="宋体"/>
                <w:b/>
                <w:bCs/>
                <w:sz w:val="28"/>
                <w:szCs w:val="28"/>
              </w:rPr>
              <w:t>招标内容要求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26" w:type="dxa"/>
            <w:vAlign w:val="center"/>
          </w:tcPr>
          <w:p>
            <w:pPr>
              <w:spacing w:line="400" w:lineRule="exact"/>
              <w:jc w:val="center"/>
              <w:rPr>
                <w:rFonts w:hint="eastAsia" w:ascii="仿宋" w:hAnsi="仿宋" w:eastAsia="仿宋" w:cs="宋体"/>
                <w:sz w:val="28"/>
                <w:szCs w:val="28"/>
              </w:rPr>
            </w:pPr>
            <w:r>
              <w:rPr>
                <w:rFonts w:hint="eastAsia" w:ascii="仿宋" w:hAnsi="仿宋" w:eastAsia="仿宋" w:cs="宋体"/>
                <w:sz w:val="28"/>
                <w:szCs w:val="28"/>
              </w:rPr>
              <w:t>1</w:t>
            </w:r>
          </w:p>
        </w:tc>
        <w:tc>
          <w:tcPr>
            <w:tcW w:w="6508" w:type="dxa"/>
            <w:vAlign w:val="center"/>
          </w:tcPr>
          <w:p>
            <w:pPr>
              <w:pStyle w:val="15"/>
              <w:spacing w:line="400" w:lineRule="exact"/>
              <w:jc w:val="left"/>
              <w:rPr>
                <w:rFonts w:hint="eastAsia" w:ascii="仿宋" w:hAnsi="仿宋" w:cs="宋体"/>
                <w:b/>
                <w:sz w:val="28"/>
                <w:szCs w:val="28"/>
              </w:rPr>
            </w:pPr>
            <w:r>
              <w:rPr>
                <w:rFonts w:hint="eastAsia" w:ascii="仿宋" w:hAnsi="仿宋" w:cs="宋体"/>
                <w:b/>
                <w:sz w:val="28"/>
                <w:szCs w:val="28"/>
              </w:rPr>
              <w:t>云归档前置服务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26" w:type="dxa"/>
            <w:vAlign w:val="center"/>
          </w:tcPr>
          <w:p>
            <w:pPr>
              <w:pStyle w:val="15"/>
              <w:numPr>
                <w:ilvl w:val="0"/>
                <w:numId w:val="21"/>
              </w:numPr>
              <w:rPr>
                <w:rFonts w:hint="eastAsia" w:ascii="仿宋" w:hAnsi="仿宋" w:cs="宋体"/>
                <w:sz w:val="28"/>
                <w:szCs w:val="28"/>
              </w:rPr>
            </w:pPr>
          </w:p>
        </w:tc>
        <w:tc>
          <w:tcPr>
            <w:tcW w:w="6508"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支持多种存储架构和存储介质；支持多重存储体系以及数据管理方式。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26" w:type="dxa"/>
            <w:vAlign w:val="center"/>
          </w:tcPr>
          <w:p>
            <w:pPr>
              <w:pStyle w:val="15"/>
              <w:numPr>
                <w:ilvl w:val="0"/>
                <w:numId w:val="21"/>
              </w:numPr>
              <w:rPr>
                <w:rFonts w:hint="eastAsia" w:ascii="仿宋" w:hAnsi="仿宋" w:cs="宋体"/>
                <w:sz w:val="28"/>
                <w:szCs w:val="28"/>
              </w:rPr>
            </w:pPr>
          </w:p>
        </w:tc>
        <w:tc>
          <w:tcPr>
            <w:tcW w:w="6508"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支持影像数据的存储管理；采用冗余存储技术和镜象存储方式。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26" w:type="dxa"/>
            <w:vAlign w:val="center"/>
          </w:tcPr>
          <w:p>
            <w:pPr>
              <w:pStyle w:val="15"/>
              <w:numPr>
                <w:ilvl w:val="0"/>
                <w:numId w:val="21"/>
              </w:numPr>
              <w:rPr>
                <w:rFonts w:hint="eastAsia" w:ascii="仿宋" w:hAnsi="仿宋" w:cs="宋体"/>
                <w:sz w:val="28"/>
                <w:szCs w:val="28"/>
              </w:rPr>
            </w:pPr>
          </w:p>
        </w:tc>
        <w:tc>
          <w:tcPr>
            <w:tcW w:w="6508"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存储服务能够自动管理在线设备与离线设备之间数据的迁移和恢复，能够提供用户可配置设备的迁移策略。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26" w:type="dxa"/>
            <w:vAlign w:val="center"/>
          </w:tcPr>
          <w:p>
            <w:pPr>
              <w:pStyle w:val="15"/>
              <w:numPr>
                <w:ilvl w:val="0"/>
                <w:numId w:val="21"/>
              </w:numPr>
              <w:rPr>
                <w:rFonts w:hint="eastAsia" w:ascii="仿宋" w:hAnsi="仿宋" w:cs="宋体"/>
                <w:sz w:val="28"/>
                <w:szCs w:val="28"/>
              </w:rPr>
            </w:pPr>
          </w:p>
        </w:tc>
        <w:tc>
          <w:tcPr>
            <w:tcW w:w="6508"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支持DICOM Q/R、FTP、WADO等多种方式与院内PACS系统集成采集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26" w:type="dxa"/>
            <w:vAlign w:val="center"/>
          </w:tcPr>
          <w:p>
            <w:pPr>
              <w:spacing w:line="400" w:lineRule="exact"/>
              <w:jc w:val="center"/>
              <w:rPr>
                <w:rFonts w:hint="eastAsia" w:ascii="仿宋" w:hAnsi="仿宋" w:eastAsia="仿宋" w:cs="宋体"/>
                <w:sz w:val="28"/>
                <w:szCs w:val="28"/>
              </w:rPr>
            </w:pPr>
            <w:r>
              <w:rPr>
                <w:rFonts w:hint="eastAsia" w:ascii="仿宋" w:hAnsi="仿宋" w:eastAsia="仿宋" w:cs="宋体"/>
                <w:sz w:val="28"/>
                <w:szCs w:val="28"/>
              </w:rPr>
              <w:t>2</w:t>
            </w:r>
          </w:p>
        </w:tc>
        <w:tc>
          <w:tcPr>
            <w:tcW w:w="6508" w:type="dxa"/>
            <w:vAlign w:val="center"/>
          </w:tcPr>
          <w:p>
            <w:pPr>
              <w:pStyle w:val="15"/>
              <w:spacing w:line="400" w:lineRule="exact"/>
              <w:jc w:val="left"/>
              <w:rPr>
                <w:rFonts w:hint="eastAsia" w:ascii="仿宋" w:hAnsi="仿宋" w:cs="宋体"/>
                <w:b/>
                <w:sz w:val="28"/>
                <w:szCs w:val="28"/>
              </w:rPr>
            </w:pPr>
            <w:r>
              <w:rPr>
                <w:rFonts w:hint="eastAsia" w:ascii="仿宋" w:hAnsi="仿宋" w:cs="宋体"/>
                <w:b/>
                <w:sz w:val="28"/>
                <w:szCs w:val="28"/>
              </w:rPr>
              <w:t>院内影像系统集成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26" w:type="dxa"/>
            <w:vAlign w:val="center"/>
          </w:tcPr>
          <w:p>
            <w:pPr>
              <w:pStyle w:val="14"/>
              <w:numPr>
                <w:ilvl w:val="0"/>
                <w:numId w:val="22"/>
              </w:numPr>
              <w:spacing w:line="400" w:lineRule="exact"/>
              <w:ind w:firstLineChars="0"/>
              <w:rPr>
                <w:rFonts w:hint="eastAsia" w:ascii="仿宋" w:hAnsi="仿宋" w:eastAsia="仿宋" w:cs="宋体"/>
                <w:szCs w:val="28"/>
              </w:rPr>
            </w:pPr>
          </w:p>
        </w:tc>
        <w:tc>
          <w:tcPr>
            <w:tcW w:w="6508"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实现院内PACS/RIS检查的二维码管理流程，实现与影像云前置服务的数据交换，实现影像云端数据下载浏览。相关改造费用由投标人承担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26" w:type="dxa"/>
            <w:vAlign w:val="center"/>
          </w:tcPr>
          <w:p>
            <w:pPr>
              <w:pStyle w:val="14"/>
              <w:numPr>
                <w:ilvl w:val="0"/>
                <w:numId w:val="22"/>
              </w:numPr>
              <w:spacing w:line="400" w:lineRule="exact"/>
              <w:ind w:firstLineChars="0"/>
              <w:rPr>
                <w:rFonts w:hint="eastAsia" w:ascii="仿宋" w:hAnsi="仿宋" w:eastAsia="仿宋" w:cs="宋体"/>
                <w:szCs w:val="28"/>
              </w:rPr>
            </w:pPr>
          </w:p>
        </w:tc>
        <w:tc>
          <w:tcPr>
            <w:tcW w:w="6508"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实现与影像云前置服务的交互，实现数据上传、数据同步和下载浏览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26" w:type="dxa"/>
            <w:vAlign w:val="center"/>
          </w:tcPr>
          <w:p>
            <w:pPr>
              <w:pStyle w:val="14"/>
              <w:numPr>
                <w:ilvl w:val="0"/>
                <w:numId w:val="22"/>
              </w:numPr>
              <w:spacing w:line="400" w:lineRule="exact"/>
              <w:ind w:firstLineChars="0"/>
              <w:rPr>
                <w:rFonts w:hint="eastAsia" w:ascii="仿宋" w:hAnsi="仿宋" w:eastAsia="仿宋" w:cs="宋体"/>
                <w:szCs w:val="28"/>
              </w:rPr>
            </w:pPr>
            <w:r>
              <w:rPr>
                <w:rFonts w:hint="eastAsia" w:ascii="仿宋" w:hAnsi="仿宋"/>
                <w:szCs w:val="28"/>
              </w:rPr>
              <w:t>▲</w:t>
            </w:r>
          </w:p>
        </w:tc>
        <w:tc>
          <w:tcPr>
            <w:tcW w:w="6508"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配合院内PACS/RIS完成流程系统改造，支持登记完成后生成二维码并可以发送短信到患者手机。患者可以通过手机短信或者登记状态信息。相关改造费用由投标人承担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1526" w:type="dxa"/>
            <w:vAlign w:val="center"/>
          </w:tcPr>
          <w:p>
            <w:pPr>
              <w:pStyle w:val="14"/>
              <w:numPr>
                <w:ilvl w:val="0"/>
                <w:numId w:val="22"/>
              </w:numPr>
              <w:spacing w:line="400" w:lineRule="exact"/>
              <w:ind w:firstLineChars="0"/>
              <w:rPr>
                <w:rFonts w:hint="eastAsia" w:ascii="仿宋" w:hAnsi="仿宋" w:eastAsia="仿宋" w:cs="宋体"/>
                <w:szCs w:val="28"/>
              </w:rPr>
            </w:pPr>
            <w:r>
              <w:rPr>
                <w:rFonts w:hint="eastAsia" w:ascii="仿宋" w:hAnsi="仿宋"/>
                <w:szCs w:val="28"/>
              </w:rPr>
              <w:t>▲</w:t>
            </w:r>
          </w:p>
        </w:tc>
        <w:tc>
          <w:tcPr>
            <w:tcW w:w="6508"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配合院内自助打印系统的软件改造，支持审核后发布的报告上添加二维码，并可以在自助打印机上通过扫描登记完成的二维码标签或者通过读卡等方式打印电子报告。相关改造费用由投标人承担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26" w:type="dxa"/>
            <w:vAlign w:val="center"/>
          </w:tcPr>
          <w:p>
            <w:pPr>
              <w:pStyle w:val="14"/>
              <w:numPr>
                <w:ilvl w:val="0"/>
                <w:numId w:val="22"/>
              </w:numPr>
              <w:spacing w:line="400" w:lineRule="exact"/>
              <w:ind w:firstLineChars="0"/>
              <w:rPr>
                <w:rFonts w:hint="eastAsia" w:ascii="仿宋" w:hAnsi="仿宋" w:eastAsia="仿宋" w:cs="宋体"/>
                <w:szCs w:val="28"/>
              </w:rPr>
            </w:pPr>
            <w:r>
              <w:rPr>
                <w:rFonts w:hint="eastAsia" w:ascii="仿宋" w:hAnsi="仿宋"/>
                <w:szCs w:val="28"/>
              </w:rPr>
              <w:t>▲</w:t>
            </w:r>
          </w:p>
        </w:tc>
        <w:tc>
          <w:tcPr>
            <w:tcW w:w="6508"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与院内PACS系统的对接，实现放射、超声、内镜、心电、病理、核医学等检查报告的查询功能和影像调阅功能。</w:t>
            </w:r>
          </w:p>
          <w:p>
            <w:pPr>
              <w:pStyle w:val="15"/>
              <w:spacing w:line="400" w:lineRule="exact"/>
              <w:jc w:val="left"/>
              <w:rPr>
                <w:rFonts w:hint="eastAsia" w:ascii="仿宋" w:hAnsi="仿宋" w:cs="宋体"/>
                <w:sz w:val="28"/>
                <w:szCs w:val="28"/>
              </w:rPr>
            </w:pPr>
            <w:r>
              <w:rPr>
                <w:rFonts w:hint="eastAsia" w:ascii="仿宋" w:hAnsi="仿宋" w:cs="宋体"/>
                <w:sz w:val="28"/>
                <w:szCs w:val="28"/>
              </w:rPr>
              <w:t>与医院业务系统（包括自助打印系统、微信公众号等）、与HIS系统、与短信平台的对接。相关接口费用有投标人承担，医院会协调厂家，接口费在合理区间。</w:t>
            </w:r>
          </w:p>
          <w:p>
            <w:pPr>
              <w:pStyle w:val="15"/>
              <w:spacing w:line="400" w:lineRule="exact"/>
              <w:jc w:val="left"/>
              <w:rPr>
                <w:rFonts w:hint="eastAsia" w:ascii="仿宋" w:hAnsi="仿宋" w:cs="宋体"/>
                <w:sz w:val="28"/>
                <w:szCs w:val="28"/>
              </w:rPr>
            </w:pPr>
            <w:r>
              <w:rPr>
                <w:rFonts w:hint="eastAsia" w:ascii="仿宋" w:hAnsi="仿宋" w:cs="宋体"/>
                <w:sz w:val="28"/>
                <w:szCs w:val="28"/>
              </w:rPr>
              <w:t>相关接口费用有投标人承担，医院会协调厂家，接口总费用不超过8万元。</w:t>
            </w:r>
          </w:p>
        </w:tc>
      </w:tr>
    </w:tbl>
    <w:p>
      <w:pPr>
        <w:rPr>
          <w:rFonts w:hint="eastAsia"/>
        </w:rPr>
      </w:pPr>
    </w:p>
    <w:p>
      <w:pPr>
        <w:pStyle w:val="3"/>
        <w:rPr>
          <w:color w:val="000000"/>
        </w:rPr>
      </w:pPr>
      <w:r>
        <w:rPr>
          <w:rFonts w:hint="eastAsia"/>
          <w:color w:val="000000"/>
        </w:rPr>
        <w:t>其他要求</w:t>
      </w:r>
    </w:p>
    <w:tbl>
      <w:tblPr>
        <w:tblStyle w:val="8"/>
        <w:tblW w:w="7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blHeader/>
        </w:trPr>
        <w:tc>
          <w:tcPr>
            <w:tcW w:w="1242" w:type="dxa"/>
            <w:shd w:val="clear" w:color="auto" w:fill="D9D9D9"/>
            <w:vAlign w:val="center"/>
          </w:tcPr>
          <w:p>
            <w:pPr>
              <w:pStyle w:val="15"/>
              <w:spacing w:line="400" w:lineRule="exact"/>
              <w:rPr>
                <w:rFonts w:hint="eastAsia" w:ascii="仿宋" w:hAnsi="仿宋" w:cs="宋体"/>
                <w:b/>
                <w:bCs/>
                <w:sz w:val="28"/>
                <w:szCs w:val="28"/>
              </w:rPr>
            </w:pPr>
            <w:r>
              <w:rPr>
                <w:rFonts w:hint="eastAsia" w:ascii="仿宋" w:hAnsi="仿宋" w:cs="宋体"/>
                <w:b/>
                <w:bCs/>
                <w:sz w:val="28"/>
                <w:szCs w:val="28"/>
              </w:rPr>
              <w:t>序号</w:t>
            </w:r>
          </w:p>
        </w:tc>
        <w:tc>
          <w:tcPr>
            <w:tcW w:w="6529" w:type="dxa"/>
            <w:shd w:val="clear" w:color="auto" w:fill="D9D9D9"/>
            <w:vAlign w:val="center"/>
          </w:tcPr>
          <w:p>
            <w:pPr>
              <w:pStyle w:val="15"/>
              <w:spacing w:line="400" w:lineRule="exact"/>
              <w:ind w:firstLine="482"/>
              <w:rPr>
                <w:rFonts w:hint="eastAsia" w:ascii="仿宋" w:hAnsi="仿宋" w:cs="宋体"/>
                <w:b/>
                <w:bCs/>
                <w:sz w:val="28"/>
                <w:szCs w:val="28"/>
              </w:rPr>
            </w:pPr>
            <w:r>
              <w:rPr>
                <w:rFonts w:hint="eastAsia" w:ascii="仿宋" w:hAnsi="仿宋" w:cs="宋体"/>
                <w:b/>
                <w:bCs/>
                <w:sz w:val="28"/>
                <w:szCs w:val="28"/>
              </w:rPr>
              <w:t>招标内容要求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spacing w:line="400" w:lineRule="exact"/>
              <w:jc w:val="center"/>
              <w:rPr>
                <w:rFonts w:hint="eastAsia" w:ascii="仿宋" w:hAnsi="仿宋" w:eastAsia="仿宋" w:cs="宋体"/>
                <w:sz w:val="28"/>
                <w:szCs w:val="28"/>
              </w:rPr>
            </w:pPr>
            <w:r>
              <w:rPr>
                <w:rFonts w:hint="eastAsia" w:ascii="仿宋" w:hAnsi="仿宋" w:eastAsia="仿宋" w:cs="宋体"/>
                <w:sz w:val="28"/>
                <w:szCs w:val="28"/>
              </w:rPr>
              <w:t>1</w:t>
            </w:r>
            <w:r>
              <w:rPr>
                <w:rFonts w:hint="eastAsia" w:ascii="仿宋" w:hAnsi="仿宋"/>
                <w:sz w:val="28"/>
                <w:szCs w:val="28"/>
              </w:rPr>
              <w:t>▲</w:t>
            </w:r>
          </w:p>
        </w:tc>
        <w:tc>
          <w:tcPr>
            <w:tcW w:w="6529" w:type="dxa"/>
            <w:vAlign w:val="center"/>
          </w:tcPr>
          <w:p>
            <w:pPr>
              <w:pStyle w:val="15"/>
              <w:spacing w:line="400" w:lineRule="exact"/>
              <w:jc w:val="left"/>
              <w:rPr>
                <w:rFonts w:hint="eastAsia" w:ascii="仿宋" w:hAnsi="仿宋" w:cs="宋体"/>
                <w:b/>
                <w:sz w:val="28"/>
                <w:szCs w:val="28"/>
              </w:rPr>
            </w:pPr>
            <w:r>
              <w:rPr>
                <w:rFonts w:hint="eastAsia" w:ascii="仿宋" w:hAnsi="仿宋" w:cs="宋体"/>
                <w:b/>
                <w:sz w:val="28"/>
                <w:szCs w:val="28"/>
              </w:rPr>
              <w:t>驻场服务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5"/>
              <w:numPr>
                <w:ilvl w:val="0"/>
                <w:numId w:val="23"/>
              </w:numPr>
              <w:rPr>
                <w:rFonts w:hint="eastAsia" w:ascii="仿宋" w:hAnsi="仿宋" w:cs="宋体"/>
                <w:sz w:val="28"/>
                <w:szCs w:val="28"/>
              </w:rPr>
            </w:pP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自项目验收后，公司安排至少一名具有本公司相关项目运维经验不少于3年的人员负责驻场运维服务，驻场服务期不少于1年，参考医院正常上班时间。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spacing w:line="400" w:lineRule="exact"/>
              <w:jc w:val="center"/>
              <w:rPr>
                <w:rFonts w:hint="eastAsia" w:ascii="仿宋" w:hAnsi="仿宋" w:eastAsia="仿宋" w:cs="宋体"/>
                <w:sz w:val="28"/>
                <w:szCs w:val="28"/>
              </w:rPr>
            </w:pPr>
            <w:r>
              <w:rPr>
                <w:rFonts w:hint="eastAsia" w:ascii="仿宋" w:hAnsi="仿宋" w:eastAsia="仿宋" w:cs="宋体"/>
                <w:sz w:val="28"/>
                <w:szCs w:val="28"/>
              </w:rPr>
              <w:t>2</w:t>
            </w:r>
            <w:r>
              <w:rPr>
                <w:rFonts w:hint="eastAsia" w:ascii="仿宋" w:hAnsi="仿宋"/>
                <w:sz w:val="28"/>
                <w:szCs w:val="28"/>
              </w:rPr>
              <w:t>▲</w:t>
            </w:r>
          </w:p>
        </w:tc>
        <w:tc>
          <w:tcPr>
            <w:tcW w:w="6529" w:type="dxa"/>
            <w:vAlign w:val="center"/>
          </w:tcPr>
          <w:p>
            <w:pPr>
              <w:pStyle w:val="15"/>
              <w:spacing w:line="400" w:lineRule="exact"/>
              <w:jc w:val="left"/>
              <w:rPr>
                <w:rFonts w:hint="eastAsia" w:ascii="仿宋" w:hAnsi="仿宋" w:cs="宋体"/>
                <w:b/>
                <w:sz w:val="28"/>
                <w:szCs w:val="28"/>
              </w:rPr>
            </w:pPr>
            <w:r>
              <w:rPr>
                <w:rFonts w:hint="eastAsia" w:ascii="仿宋" w:hAnsi="仿宋" w:cs="宋体"/>
                <w:b/>
                <w:sz w:val="28"/>
                <w:szCs w:val="28"/>
              </w:rPr>
              <w:t>整体功能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2.1</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投标人须建设采购人院内独立的数字影像服务云胶片系统，由采购人提供服务器硬件、网络、数据库及操作系统，按照采购要求提供数字影像服务软件，满足全院医技检查影像（CT、MRI、DR、超声、内镜等）、检查原始影像、电子报告的患者在线调阅服务。</w:t>
            </w:r>
          </w:p>
          <w:p>
            <w:pPr>
              <w:pStyle w:val="15"/>
              <w:spacing w:line="400" w:lineRule="exact"/>
              <w:jc w:val="left"/>
              <w:rPr>
                <w:rFonts w:hint="eastAsia" w:ascii="仿宋" w:hAnsi="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3</w:t>
            </w:r>
            <w:r>
              <w:rPr>
                <w:rFonts w:hint="eastAsia" w:ascii="仿宋" w:hAnsi="仿宋"/>
                <w:szCs w:val="28"/>
              </w:rPr>
              <w:t>▲</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b/>
                <w:sz w:val="28"/>
                <w:szCs w:val="28"/>
              </w:rPr>
              <w:t>信创适配能力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3.1</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支持国产数据库、国产操作系统，投标人提供承诺函，承诺后续免费配合医院完成国产化的适配和迁移工作。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4</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b/>
                <w:sz w:val="28"/>
                <w:szCs w:val="28"/>
              </w:rPr>
              <w:t>项目评审要求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4.1</w:t>
            </w:r>
            <w:r>
              <w:rPr>
                <w:rFonts w:hint="eastAsia" w:ascii="仿宋" w:hAnsi="仿宋"/>
                <w:szCs w:val="28"/>
              </w:rPr>
              <w:t>▲</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提供的软件版本已具备5级电子病历要求的功能，免费配合医院通过5级电子病历评审工作。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4.2</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具备通过6级电子病历要求的技术能力，并具备通过6级电子病历评审要求。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4.3</w:t>
            </w:r>
            <w:r>
              <w:rPr>
                <w:rFonts w:hint="eastAsia" w:ascii="仿宋" w:hAnsi="仿宋"/>
                <w:szCs w:val="28"/>
              </w:rPr>
              <w:t>▲</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提供的软件版本已具备互联互通五乙的功能，免费配合医院通过互联互通五乙评审工作。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4.4</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免费配合医院通过智慧服务三级、智慧管理三级评审工作。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4.5</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提供的软件版本已具备三甲医院管理要求的功能，免费配合医院通过三甲医院评审工作。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5</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b/>
                <w:sz w:val="28"/>
                <w:szCs w:val="28"/>
              </w:rPr>
              <w:t>用户授权及使用许可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5.1</w:t>
            </w:r>
            <w:r>
              <w:rPr>
                <w:rFonts w:hint="eastAsia" w:ascii="仿宋" w:hAnsi="仿宋"/>
                <w:szCs w:val="28"/>
              </w:rPr>
              <w:t>▲</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不限用户点数，不限同时在线点数，不设使用期限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rPr>
            </w:pPr>
            <w:r>
              <w:rPr>
                <w:rFonts w:hint="eastAsia" w:ascii="仿宋" w:hAnsi="仿宋" w:eastAsia="仿宋" w:cs="宋体"/>
                <w:szCs w:val="28"/>
              </w:rPr>
              <w:t>5.2</w:t>
            </w:r>
            <w:r>
              <w:rPr>
                <w:rFonts w:hint="eastAsia" w:ascii="仿宋" w:hAnsi="仿宋"/>
                <w:szCs w:val="28"/>
              </w:rPr>
              <w:t>▲</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甲方购买的产品为终身授权，不允许另行购买许可。如对软件产品的授权有加密功能，时间许可为永久，只允许软加密，不允许采用U盘加密狗等硬加密方式，软加密不允许读任何服务器、任何终端的任何软硬件信息作为加密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r>
              <w:rPr>
                <w:rFonts w:hint="eastAsia" w:ascii="仿宋" w:hAnsi="仿宋" w:eastAsia="仿宋" w:cs="宋体"/>
                <w:szCs w:val="28"/>
              </w:rPr>
              <w:t>6</w:t>
            </w:r>
            <w:r>
              <w:rPr>
                <w:rFonts w:hint="eastAsia" w:ascii="仿宋" w:hAnsi="仿宋"/>
                <w:szCs w:val="28"/>
              </w:rPr>
              <w:t>▲</w:t>
            </w: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b/>
                <w:sz w:val="28"/>
                <w:szCs w:val="28"/>
              </w:rPr>
              <w:t>用户管理要求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42" w:type="dxa"/>
            <w:vAlign w:val="center"/>
          </w:tcPr>
          <w:p>
            <w:pPr>
              <w:pStyle w:val="14"/>
              <w:spacing w:line="400" w:lineRule="exact"/>
              <w:ind w:left="660" w:hanging="420" w:firstLineChars="0"/>
              <w:rPr>
                <w:rFonts w:hint="eastAsia" w:ascii="仿宋" w:hAnsi="仿宋" w:eastAsia="仿宋" w:cs="宋体"/>
                <w:szCs w:val="28"/>
              </w:rPr>
            </w:pPr>
          </w:p>
        </w:tc>
        <w:tc>
          <w:tcPr>
            <w:tcW w:w="6529" w:type="dxa"/>
            <w:vAlign w:val="center"/>
          </w:tcPr>
          <w:p>
            <w:pPr>
              <w:pStyle w:val="15"/>
              <w:spacing w:line="400" w:lineRule="exact"/>
              <w:jc w:val="left"/>
              <w:rPr>
                <w:rFonts w:hint="eastAsia" w:ascii="仿宋" w:hAnsi="仿宋" w:cs="宋体"/>
                <w:sz w:val="28"/>
                <w:szCs w:val="28"/>
              </w:rPr>
            </w:pPr>
            <w:r>
              <w:rPr>
                <w:rFonts w:hint="eastAsia" w:ascii="仿宋" w:hAnsi="仿宋" w:cs="宋体"/>
                <w:sz w:val="28"/>
                <w:szCs w:val="28"/>
              </w:rPr>
              <w:t>用户首次登录系统时要求系统能提示用户强制修改原始密码；不允许有不符合网络安全要求的数据库、应用服务器、客户端弱口令；从技术层面强制控制强密码要求采用数字、大小写字母、特殊符号组成，密码长度不少于8位，并设立开关控制；有定期强制更换密码开关，并能设置某个周期内强制用户登录时更换密码。</w:t>
            </w:r>
          </w:p>
        </w:tc>
      </w:tr>
    </w:tbl>
    <w:p>
      <w:pPr>
        <w:rPr>
          <w:rFonts w:hint="eastAsia"/>
        </w:rPr>
      </w:pPr>
    </w:p>
    <w:p>
      <w:pPr>
        <w:rPr>
          <w:rFonts w:hint="eastAsia"/>
        </w:rPr>
      </w:pPr>
    </w:p>
    <w:sectPr>
      <w:footerReference r:id="rId3" w:type="default"/>
      <w:pgSz w:w="11907" w:h="16839"/>
      <w:pgMar w:top="1440" w:right="1800" w:bottom="1440" w:left="1800" w:header="720" w:footer="720" w:gutter="0"/>
      <w:pgNumType w:start="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rFonts w:hint="eastAsia"/>
      </w:rPr>
      <w:t>第</w:t>
    </w:r>
    <w:r>
      <w:t xml:space="preserve"> </w:t>
    </w:r>
    <w:r>
      <w:fldChar w:fldCharType="begin"/>
    </w:r>
    <w:r>
      <w:instrText xml:space="preserve">PAGE</w:instrText>
    </w:r>
    <w:r>
      <w:fldChar w:fldCharType="separate"/>
    </w:r>
    <w:r>
      <w:t>2</w:t>
    </w:r>
    <w:r>
      <w:fldChar w:fldCharType="end"/>
    </w:r>
    <w:r>
      <w:t xml:space="preserve"> </w:t>
    </w:r>
    <w:r>
      <w:rPr>
        <w:rFonts w:hint="eastAsia"/>
      </w:rPr>
      <w:t>页 共</w:t>
    </w:r>
    <w:r>
      <w:t xml:space="preserve"> 15 </w:t>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FC4A7"/>
    <w:multiLevelType w:val="multilevel"/>
    <w:tmpl w:val="816FC4A7"/>
    <w:lvl w:ilvl="0" w:tentative="0">
      <w:start w:val="2"/>
      <w:numFmt w:val="decimal"/>
      <w:lvlText w:val="%1."/>
      <w:lvlJc w:val="left"/>
      <w:pPr>
        <w:ind w:left="425" w:hanging="425"/>
      </w:pPr>
      <w:rPr>
        <w:rFonts w:hint="default"/>
      </w:rPr>
    </w:lvl>
    <w:lvl w:ilvl="1" w:tentative="0">
      <w:start w:val="1"/>
      <w:numFmt w:val="decimal"/>
      <w:isLg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8C767C4"/>
    <w:multiLevelType w:val="multilevel"/>
    <w:tmpl w:val="88C767C4"/>
    <w:lvl w:ilvl="0" w:tentative="0">
      <w:start w:val="1"/>
      <w:numFmt w:val="decimal"/>
      <w:suff w:val="nothing"/>
      <w:lvlText w:val="3.%1"/>
      <w:lvlJc w:val="left"/>
      <w:pPr>
        <w:tabs>
          <w:tab w:val="left" w:pos="0"/>
        </w:tabs>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89A8C81F"/>
    <w:multiLevelType w:val="multilevel"/>
    <w:tmpl w:val="89A8C81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97CE2EFD"/>
    <w:multiLevelType w:val="multilevel"/>
    <w:tmpl w:val="97CE2EFD"/>
    <w:lvl w:ilvl="0" w:tentative="0">
      <w:start w:val="1"/>
      <w:numFmt w:val="decimal"/>
      <w:lvlText w:val="2.%1."/>
      <w:lvlJc w:val="left"/>
      <w:pPr>
        <w:ind w:left="660" w:hanging="420"/>
      </w:pPr>
      <w:rPr>
        <w:rFonts w:hint="eastAsia"/>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4">
    <w:nsid w:val="BF7EB400"/>
    <w:multiLevelType w:val="multilevel"/>
    <w:tmpl w:val="BF7EB400"/>
    <w:lvl w:ilvl="0" w:tentative="0">
      <w:start w:val="1"/>
      <w:numFmt w:val="decimal"/>
      <w:suff w:val="nothing"/>
      <w:lvlText w:val="%1）"/>
      <w:lvlJc w:val="left"/>
      <w:pPr>
        <w:ind w:left="0" w:firstLine="480"/>
      </w:pPr>
      <w:rPr>
        <w:rFonts w:hint="default"/>
      </w:rPr>
    </w:lvl>
    <w:lvl w:ilvl="1" w:tentative="0">
      <w:start w:val="1"/>
      <w:numFmt w:val="lowerLetter"/>
      <w:suff w:val="nothing"/>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
    <w:nsid w:val="CF2C294D"/>
    <w:multiLevelType w:val="multilevel"/>
    <w:tmpl w:val="CF2C294D"/>
    <w:lvl w:ilvl="0" w:tentative="0">
      <w:start w:val="1"/>
      <w:numFmt w:val="decimal"/>
      <w:lvlText w:val="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DD8A286"/>
    <w:multiLevelType w:val="multilevel"/>
    <w:tmpl w:val="FDD8A286"/>
    <w:lvl w:ilvl="0" w:tentative="0">
      <w:start w:val="1"/>
      <w:numFmt w:val="decimal"/>
      <w:lvlText w:val="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93906FD"/>
    <w:multiLevelType w:val="multilevel"/>
    <w:tmpl w:val="093906FD"/>
    <w:lvl w:ilvl="0" w:tentative="0">
      <w:start w:val="1"/>
      <w:numFmt w:val="decimal"/>
      <w:suff w:val="nothing"/>
      <w:lvlText w:val="%1）"/>
      <w:lvlJc w:val="left"/>
      <w:pPr>
        <w:ind w:left="0" w:firstLine="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8">
    <w:nsid w:val="193D6EF8"/>
    <w:multiLevelType w:val="multilevel"/>
    <w:tmpl w:val="193D6EF8"/>
    <w:lvl w:ilvl="0" w:tentative="0">
      <w:start w:val="1"/>
      <w:numFmt w:val="decimal"/>
      <w:suff w:val="nothing"/>
      <w:lvlText w:val="%1）"/>
      <w:lvlJc w:val="left"/>
      <w:pPr>
        <w:ind w:left="0" w:firstLine="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9">
    <w:nsid w:val="1CF64E4C"/>
    <w:multiLevelType w:val="multilevel"/>
    <w:tmpl w:val="1CF64E4C"/>
    <w:lvl w:ilvl="0" w:tentative="0">
      <w:start w:val="1"/>
      <w:numFmt w:val="decimal"/>
      <w:suff w:val="nothing"/>
      <w:lvlText w:val="%1）"/>
      <w:lvlJc w:val="left"/>
      <w:pPr>
        <w:ind w:left="0" w:firstLine="480"/>
      </w:pPr>
      <w:rPr>
        <w:rFonts w:hint="default"/>
      </w:rPr>
    </w:lvl>
    <w:lvl w:ilvl="1" w:tentative="0">
      <w:start w:val="1"/>
      <w:numFmt w:val="lowerLetter"/>
      <w:suff w:val="nothing"/>
      <w:lvlText w:val="%2）"/>
      <w:lvlJc w:val="left"/>
      <w:pPr>
        <w:ind w:left="482" w:firstLine="418"/>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0">
    <w:nsid w:val="2464BA80"/>
    <w:multiLevelType w:val="multilevel"/>
    <w:tmpl w:val="2464BA80"/>
    <w:lvl w:ilvl="0" w:tentative="0">
      <w:start w:val="1"/>
      <w:numFmt w:val="decimal"/>
      <w:lvlText w:val="4.%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62F5D41"/>
    <w:multiLevelType w:val="multilevel"/>
    <w:tmpl w:val="262F5D41"/>
    <w:lvl w:ilvl="0" w:tentative="0">
      <w:start w:val="1"/>
      <w:numFmt w:val="decimal"/>
      <w:lvlText w:val="2.%1."/>
      <w:lvlJc w:val="left"/>
      <w:pPr>
        <w:ind w:left="660" w:hanging="420"/>
      </w:pPr>
      <w:rPr>
        <w:rFonts w:hint="eastAsia"/>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2">
    <w:nsid w:val="304C07C9"/>
    <w:multiLevelType w:val="multilevel"/>
    <w:tmpl w:val="304C07C9"/>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3">
    <w:nsid w:val="311A6453"/>
    <w:multiLevelType w:val="multilevel"/>
    <w:tmpl w:val="311A6453"/>
    <w:lvl w:ilvl="0" w:tentative="0">
      <w:start w:val="1"/>
      <w:numFmt w:val="decimal"/>
      <w:suff w:val="nothing"/>
      <w:lvlText w:val="%1）"/>
      <w:lvlJc w:val="left"/>
      <w:pPr>
        <w:ind w:left="0" w:firstLine="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4">
    <w:nsid w:val="32D42CA8"/>
    <w:multiLevelType w:val="multilevel"/>
    <w:tmpl w:val="32D42CA8"/>
    <w:lvl w:ilvl="0" w:tentative="0">
      <w:start w:val="1"/>
      <w:numFmt w:val="decimal"/>
      <w:suff w:val="nothing"/>
      <w:lvlText w:val="%1）"/>
      <w:lvlJc w:val="left"/>
      <w:pPr>
        <w:ind w:left="0" w:firstLine="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5">
    <w:nsid w:val="3B875992"/>
    <w:multiLevelType w:val="multilevel"/>
    <w:tmpl w:val="3B875992"/>
    <w:lvl w:ilvl="0" w:tentative="0">
      <w:start w:val="1"/>
      <w:numFmt w:val="decimal"/>
      <w:suff w:val="nothing"/>
      <w:lvlText w:val="%1）"/>
      <w:lvlJc w:val="left"/>
      <w:pPr>
        <w:ind w:left="0" w:firstLine="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6">
    <w:nsid w:val="3D5B10FA"/>
    <w:multiLevelType w:val="multilevel"/>
    <w:tmpl w:val="3D5B10FA"/>
    <w:lvl w:ilvl="0" w:tentative="0">
      <w:start w:val="1"/>
      <w:numFmt w:val="decimal"/>
      <w:suff w:val="nothing"/>
      <w:lvlText w:val="%1）"/>
      <w:lvlJc w:val="left"/>
      <w:pPr>
        <w:ind w:left="0" w:firstLine="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7">
    <w:nsid w:val="4F426B18"/>
    <w:multiLevelType w:val="multilevel"/>
    <w:tmpl w:val="4F426B18"/>
    <w:lvl w:ilvl="0" w:tentative="0">
      <w:start w:val="1"/>
      <w:numFmt w:val="decimal"/>
      <w:suff w:val="nothing"/>
      <w:lvlText w:val="%1）"/>
      <w:lvlJc w:val="left"/>
      <w:pPr>
        <w:ind w:left="0" w:firstLine="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8">
    <w:nsid w:val="51CDEC0F"/>
    <w:multiLevelType w:val="multilevel"/>
    <w:tmpl w:val="51CDEC0F"/>
    <w:lvl w:ilvl="0" w:tentative="0">
      <w:start w:val="1"/>
      <w:numFmt w:val="decimal"/>
      <w:lvlText w:val="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4422ABE"/>
    <w:multiLevelType w:val="multilevel"/>
    <w:tmpl w:val="54422ABE"/>
    <w:lvl w:ilvl="0" w:tentative="0">
      <w:start w:val="1"/>
      <w:numFmt w:val="decimal"/>
      <w:suff w:val="nothing"/>
      <w:lvlText w:val="%1）"/>
      <w:lvlJc w:val="left"/>
      <w:pPr>
        <w:ind w:left="0" w:firstLine="480"/>
      </w:pPr>
      <w:rPr>
        <w:rFonts w:hint="default"/>
      </w:rPr>
    </w:lvl>
    <w:lvl w:ilvl="1" w:tentative="0">
      <w:start w:val="1"/>
      <w:numFmt w:val="lowerLetter"/>
      <w:suff w:val="nothing"/>
      <w:lvlText w:val="%2）"/>
      <w:lvlJc w:val="left"/>
      <w:pPr>
        <w:ind w:left="482" w:firstLine="418"/>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0">
    <w:nsid w:val="6A7F477A"/>
    <w:multiLevelType w:val="multilevel"/>
    <w:tmpl w:val="6A7F477A"/>
    <w:lvl w:ilvl="0" w:tentative="0">
      <w:start w:val="1"/>
      <w:numFmt w:val="decimal"/>
      <w:suff w:val="nothing"/>
      <w:lvlText w:val="%1）"/>
      <w:lvlJc w:val="left"/>
      <w:pPr>
        <w:ind w:left="0" w:firstLine="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1">
    <w:nsid w:val="7B47296C"/>
    <w:multiLevelType w:val="multilevel"/>
    <w:tmpl w:val="7B47296C"/>
    <w:lvl w:ilvl="0" w:tentative="0">
      <w:start w:val="1"/>
      <w:numFmt w:val="decimal"/>
      <w:suff w:val="nothing"/>
      <w:lvlText w:val="%1）"/>
      <w:lvlJc w:val="left"/>
      <w:pPr>
        <w:ind w:left="0" w:firstLine="480"/>
      </w:pPr>
      <w:rPr>
        <w:rFonts w:hint="default"/>
      </w:rPr>
    </w:lvl>
    <w:lvl w:ilvl="1" w:tentative="0">
      <w:start w:val="1"/>
      <w:numFmt w:val="lowerLetter"/>
      <w:suff w:val="nothing"/>
      <w:lvlText w:val="%2）"/>
      <w:lvlJc w:val="left"/>
      <w:pPr>
        <w:ind w:left="482" w:firstLine="418"/>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2"/>
  </w:num>
  <w:num w:numId="2">
    <w:abstractNumId w:val="13"/>
  </w:num>
  <w:num w:numId="3">
    <w:abstractNumId w:val="14"/>
  </w:num>
  <w:num w:numId="4">
    <w:abstractNumId w:val="15"/>
  </w:num>
  <w:num w:numId="5">
    <w:abstractNumId w:val="9"/>
  </w:num>
  <w:num w:numId="6">
    <w:abstractNumId w:val="7"/>
  </w:num>
  <w:num w:numId="7">
    <w:abstractNumId w:val="17"/>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4"/>
  </w:num>
  <w:num w:numId="13">
    <w:abstractNumId w:val="19"/>
  </w:num>
  <w:num w:numId="14">
    <w:abstractNumId w:val="21"/>
  </w:num>
  <w:num w:numId="15">
    <w:abstractNumId w:val="2"/>
  </w:num>
  <w:num w:numId="16">
    <w:abstractNumId w:val="0"/>
  </w:num>
  <w:num w:numId="17">
    <w:abstractNumId w:val="6"/>
  </w:num>
  <w:num w:numId="18">
    <w:abstractNumId w:val="3"/>
  </w:num>
  <w:num w:numId="19">
    <w:abstractNumId w:val="1"/>
  </w:num>
  <w:num w:numId="20">
    <w:abstractNumId w:val="10"/>
  </w:num>
  <w:num w:numId="21">
    <w:abstractNumId w:val="18"/>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DA"/>
    <w:rsid w:val="00304B97"/>
    <w:rsid w:val="008B0D00"/>
    <w:rsid w:val="00BB2E05"/>
    <w:rsid w:val="00C64081"/>
    <w:rsid w:val="00DD19DA"/>
    <w:rsid w:val="00DD788D"/>
    <w:rsid w:val="00FF3C6B"/>
    <w:rsid w:val="11B8761E"/>
    <w:rsid w:val="2F8837DF"/>
    <w:rsid w:val="49A7242F"/>
    <w:rsid w:val="54936D5B"/>
    <w:rsid w:val="7BFD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Times New Roman"/>
      <w:sz w:val="24"/>
      <w:szCs w:val="22"/>
      <w:lang w:val="en-US" w:eastAsia="zh-CN" w:bidi="ar-SA"/>
    </w:rPr>
  </w:style>
  <w:style w:type="paragraph" w:styleId="2">
    <w:name w:val="heading 1"/>
    <w:basedOn w:val="1"/>
    <w:next w:val="1"/>
    <w:qFormat/>
    <w:uiPriority w:val="9"/>
    <w:pPr>
      <w:numPr>
        <w:ilvl w:val="0"/>
        <w:numId w:val="1"/>
      </w:numPr>
      <w:contextualSpacing/>
      <w:outlineLvl w:val="0"/>
    </w:pPr>
    <w:rPr>
      <w:rFonts w:ascii="Cambria" w:hAnsi="Cambria"/>
      <w:b/>
      <w:smallCaps/>
      <w:spacing w:val="5"/>
      <w:sz w:val="30"/>
      <w:szCs w:val="36"/>
    </w:rPr>
  </w:style>
  <w:style w:type="paragraph" w:styleId="3">
    <w:name w:val="heading 2"/>
    <w:basedOn w:val="1"/>
    <w:next w:val="1"/>
    <w:unhideWhenUsed/>
    <w:qFormat/>
    <w:uiPriority w:val="9"/>
    <w:pPr>
      <w:numPr>
        <w:ilvl w:val="1"/>
        <w:numId w:val="1"/>
      </w:numPr>
      <w:spacing w:line="271" w:lineRule="auto"/>
      <w:outlineLvl w:val="1"/>
    </w:pPr>
    <w:rPr>
      <w:rFonts w:ascii="Cambria" w:hAnsi="Cambria"/>
      <w:b/>
      <w:smallCaps/>
      <w:sz w:val="28"/>
      <w:szCs w:val="28"/>
    </w:rPr>
  </w:style>
  <w:style w:type="paragraph" w:styleId="4">
    <w:name w:val="heading 3"/>
    <w:basedOn w:val="1"/>
    <w:next w:val="1"/>
    <w:unhideWhenUsed/>
    <w:qFormat/>
    <w:uiPriority w:val="9"/>
    <w:pPr>
      <w:numPr>
        <w:ilvl w:val="2"/>
        <w:numId w:val="1"/>
      </w:numPr>
      <w:spacing w:line="271" w:lineRule="auto"/>
      <w:outlineLvl w:val="2"/>
    </w:pPr>
    <w:rPr>
      <w:rFonts w:ascii="Cambria" w:hAnsi="Cambria"/>
      <w:b/>
      <w:iCs/>
      <w:smallCaps/>
      <w:spacing w:val="5"/>
      <w:sz w:val="26"/>
      <w:szCs w:val="26"/>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17"/>
    <w:qFormat/>
    <w:uiPriority w:val="0"/>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annotation subject"/>
    <w:basedOn w:val="5"/>
    <w:next w:val="5"/>
    <w:link w:val="18"/>
    <w:qFormat/>
    <w:uiPriority w:val="0"/>
    <w:rPr>
      <w:b/>
      <w:bCs/>
    </w:rPr>
  </w:style>
  <w:style w:type="character" w:styleId="10">
    <w:name w:val="annotation reference"/>
    <w:basedOn w:val="9"/>
    <w:qFormat/>
    <w:uiPriority w:val="0"/>
    <w:rPr>
      <w:sz w:val="21"/>
      <w:szCs w:val="21"/>
    </w:rPr>
  </w:style>
  <w:style w:type="paragraph" w:styleId="11">
    <w:name w:val="No Spacing"/>
    <w:basedOn w:val="1"/>
    <w:qFormat/>
    <w:uiPriority w:val="1"/>
    <w:pPr>
      <w:spacing w:line="240" w:lineRule="auto"/>
    </w:pPr>
    <w:rPr>
      <w:rFonts w:ascii="Cambria" w:hAnsi="Cambria"/>
      <w:sz w:val="22"/>
    </w:rPr>
  </w:style>
  <w:style w:type="paragraph" w:customStyle="1" w:styleId="12">
    <w:name w:val="表格文字"/>
    <w:basedOn w:val="1"/>
    <w:qFormat/>
    <w:uiPriority w:val="0"/>
    <w:pPr>
      <w:widowControl w:val="0"/>
      <w:spacing w:before="25" w:after="25" w:line="240" w:lineRule="auto"/>
    </w:pPr>
    <w:rPr>
      <w:rFonts w:ascii="Cambria" w:hAnsi="Cambria"/>
      <w:bCs/>
      <w:szCs w:val="20"/>
    </w:rPr>
  </w:style>
  <w:style w:type="paragraph" w:styleId="13">
    <w:name w:val="List Paragraph"/>
    <w:basedOn w:val="1"/>
    <w:qFormat/>
    <w:uiPriority w:val="34"/>
    <w:pPr>
      <w:ind w:left="720"/>
      <w:contextualSpacing/>
    </w:pPr>
    <w:rPr>
      <w:rFonts w:ascii="Calibri" w:hAnsi="Calibri"/>
    </w:rPr>
  </w:style>
  <w:style w:type="paragraph" w:customStyle="1" w:styleId="14">
    <w:name w:val="_Style 36"/>
    <w:basedOn w:val="1"/>
    <w:next w:val="13"/>
    <w:qFormat/>
    <w:uiPriority w:val="0"/>
    <w:pPr>
      <w:ind w:firstLine="420" w:firstLineChars="200"/>
    </w:pPr>
    <w:rPr>
      <w:sz w:val="28"/>
    </w:rPr>
  </w:style>
  <w:style w:type="paragraph" w:customStyle="1" w:styleId="15">
    <w:name w:val="Table"/>
    <w:basedOn w:val="1"/>
    <w:qFormat/>
    <w:uiPriority w:val="0"/>
    <w:pPr>
      <w:jc w:val="center"/>
    </w:pPr>
    <w:rPr>
      <w:rFonts w:ascii="Times New Roman" w:hAnsi="Times New Roman" w:eastAsia="仿宋"/>
      <w:szCs w:val="21"/>
    </w:rPr>
  </w:style>
  <w:style w:type="paragraph" w:customStyle="1" w:styleId="16">
    <w:name w:val="Revision"/>
    <w:hidden/>
    <w:unhideWhenUsed/>
    <w:qFormat/>
    <w:uiPriority w:val="99"/>
    <w:rPr>
      <w:rFonts w:ascii="宋体" w:hAnsi="宋体" w:eastAsia="宋体" w:cs="Times New Roman"/>
      <w:sz w:val="24"/>
      <w:szCs w:val="22"/>
      <w:lang w:val="en-US" w:eastAsia="zh-CN" w:bidi="ar-SA"/>
    </w:rPr>
  </w:style>
  <w:style w:type="character" w:customStyle="1" w:styleId="17">
    <w:name w:val="批注文字 字符"/>
    <w:basedOn w:val="9"/>
    <w:link w:val="5"/>
    <w:qFormat/>
    <w:uiPriority w:val="0"/>
    <w:rPr>
      <w:rFonts w:ascii="宋体" w:hAnsi="宋体" w:eastAsia="宋体" w:cs="Times New Roman"/>
      <w:sz w:val="24"/>
      <w:szCs w:val="22"/>
    </w:rPr>
  </w:style>
  <w:style w:type="character" w:customStyle="1" w:styleId="18">
    <w:name w:val="批注主题 字符"/>
    <w:basedOn w:val="17"/>
    <w:link w:val="7"/>
    <w:qFormat/>
    <w:uiPriority w:val="0"/>
    <w:rPr>
      <w:rFonts w:ascii="宋体" w:hAnsi="宋体" w:eastAsia="宋体" w:cs="Times New Roman"/>
      <w:b/>
      <w:bCs/>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7861</Words>
  <Characters>8245</Characters>
  <Lines>73</Lines>
  <Paragraphs>20</Paragraphs>
  <TotalTime>4</TotalTime>
  <ScaleCrop>false</ScaleCrop>
  <LinksUpToDate>false</LinksUpToDate>
  <CharactersWithSpaces>8297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2024-08-29T09:31:00Z</dcterms:created>
  <dc:creator>Owen</dc:creator>
  <cp:lastModifiedBy>zzc</cp:lastModifiedBy>
  <dcterms:modified xsi:type="dcterms:W3CDTF">2025-06-05T01:49:19Z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A7277C9D6D8642618872BE81C840F6ED_13</vt:lpwstr>
  </property>
  <property fmtid="{D5CDD505-2E9C-101B-9397-08002B2CF9AE}" pid="4" name="KSOTemplateDocerSaveRecord">
    <vt:lpwstr>eyJoZGlkIjoiNDdmZGI4ZjhhMTMxZTVhMDZmZWE2MzQzYTJkNWZmOTMiLCJ1c2VySWQiOiIxMzE4OTc4MTEyIn0=</vt:lpwstr>
  </property>
</Properties>
</file>