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1"/>
        <w:rPr>
          <w:rFonts w:hint="eastAsia" w:ascii="黑体" w:hAnsi="黑体" w:eastAsia="黑体" w:cs="Times New Roman"/>
          <w:b/>
          <w:sz w:val="44"/>
          <w:szCs w:val="44"/>
          <w:shd w:val="clear" w:color="auto" w:fill="FFFFFF"/>
          <w:lang w:val="en-US" w:eastAsia="zh-CN"/>
        </w:rPr>
      </w:pPr>
      <w:r>
        <w:rPr>
          <w:rFonts w:hint="eastAsia" w:ascii="黑体" w:hAnsi="黑体" w:eastAsia="黑体" w:cs="Times New Roman"/>
          <w:b/>
          <w:sz w:val="44"/>
          <w:szCs w:val="44"/>
          <w:shd w:val="clear" w:color="auto" w:fill="FFFFFF"/>
          <w:lang w:val="en-US" w:eastAsia="zh-CN"/>
        </w:rPr>
        <w:t>医院东南面5户拆迁房资产评估服务项目需求</w:t>
      </w:r>
    </w:p>
    <w:p>
      <w:pPr>
        <w:spacing w:line="360" w:lineRule="auto"/>
        <w:jc w:val="center"/>
        <w:outlineLvl w:val="1"/>
        <w:rPr>
          <w:rFonts w:hint="eastAsia" w:ascii="黑体" w:hAnsi="黑体" w:eastAsia="黑体" w:cs="Times New Roman"/>
          <w:b/>
          <w:sz w:val="44"/>
          <w:szCs w:val="44"/>
          <w:shd w:val="clear" w:color="auto" w:fill="FFFFFF"/>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after="313" w:afterLines="100" w:line="360" w:lineRule="auto"/>
        <w:jc w:val="center"/>
        <w:textAlignment w:val="auto"/>
        <w:outlineLvl w:val="1"/>
        <w:rPr>
          <w:rFonts w:hint="eastAsia" w:ascii="仿宋" w:hAnsi="仿宋" w:eastAsia="仿宋" w:cs="仿宋"/>
          <w:b/>
          <w:sz w:val="28"/>
          <w:szCs w:val="28"/>
          <w:shd w:val="clear" w:color="auto" w:fill="FFFFFF"/>
          <w:lang w:val="en-US" w:eastAsia="zh-CN"/>
        </w:rPr>
      </w:pPr>
      <w:bookmarkStart w:id="0" w:name="_Toc107297762"/>
      <w:r>
        <w:rPr>
          <w:rFonts w:hint="eastAsia" w:ascii="仿宋" w:hAnsi="仿宋" w:eastAsia="仿宋" w:cs="仿宋"/>
          <w:b/>
          <w:sz w:val="28"/>
          <w:szCs w:val="28"/>
          <w:shd w:val="clear" w:color="auto" w:fill="FFFFFF"/>
          <w:lang w:val="en-US" w:eastAsia="zh-CN"/>
        </w:rPr>
        <w:t>供应商资格要求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1.供应商必须符合《中华人民共和国政府采购法》第二十二条规定的条件；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2.供应商具有独立承担民事责任能力的，在中华人民共和国境内注册的法人，且具备从事本项目经营范围和能力；</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3.供应商具有依法缴纳税收和社会保障资金的良好记录；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4.供应商（含其授权的下属单位、分支机构）近三年内在经营活动中没有重大违法行为；</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5.本项目的特定资格要求：</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①供应商具有广东政府采购智慧云平台内的定点采购资格；</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②供应商为佛山市内评估公司；</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③供应商要具有广东省财政厅备案资质证书；</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④评估师具有资产评估协会证书（非实习评估师），近五年中国资产评估协会无违规。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sz w:val="28"/>
          <w:szCs w:val="28"/>
          <w:shd w:val="clear" w:color="auto" w:fill="FFFFFF"/>
          <w:lang w:val="en-US" w:eastAsia="zh-CN"/>
        </w:rPr>
      </w:pPr>
      <w:r>
        <w:rPr>
          <w:rFonts w:hint="eastAsia" w:ascii="仿宋" w:hAnsi="仿宋" w:eastAsia="仿宋" w:cs="仿宋"/>
          <w:b w:val="0"/>
          <w:bCs/>
          <w:sz w:val="28"/>
          <w:szCs w:val="28"/>
          <w:lang w:val="en-US" w:eastAsia="zh-CN"/>
        </w:rPr>
        <w:t>6.本项目不接受联合体参加。</w:t>
      </w:r>
    </w:p>
    <w:bookmarkEnd w:id="0"/>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lang w:val="en-US" w:eastAsia="zh-CN"/>
        </w:rPr>
        <w:t>二</w:t>
      </w:r>
      <w:r>
        <w:rPr>
          <w:rFonts w:hint="eastAsia" w:ascii="仿宋" w:hAnsi="仿宋" w:eastAsia="仿宋" w:cs="仿宋"/>
          <w:b/>
          <w:sz w:val="28"/>
          <w:szCs w:val="28"/>
          <w:shd w:val="clear" w:color="auto" w:fill="FFFFFF"/>
        </w:rPr>
        <w:t>、项目技术服务要求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（一）</w:t>
      </w:r>
      <w:r>
        <w:rPr>
          <w:rFonts w:hint="eastAsia" w:ascii="仿宋" w:hAnsi="仿宋" w:eastAsia="仿宋" w:cs="仿宋"/>
          <w:b/>
          <w:bCs w:val="0"/>
          <w:sz w:val="28"/>
          <w:szCs w:val="28"/>
          <w:lang w:val="en-US" w:eastAsia="zh-CN"/>
        </w:rPr>
        <w:t>项目概况</w:t>
      </w:r>
    </w:p>
    <w:p>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 我院2002年改造项目中拆迁私人房产5户，合计299.48平方米。本项目旨在结合周边区域的发展情况，对已拆迁的5处房产进行出售价值评估，为日后的拆迁补充方案提供参考依据。评估基准日将依据采购方的正式通知确定。</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i w:val="0"/>
          <w:iCs w:val="0"/>
          <w:caps w:val="0"/>
          <w:color w:val="333333"/>
          <w:spacing w:val="0"/>
          <w:sz w:val="28"/>
          <w:szCs w:val="28"/>
          <w:shd w:val="clear" w:fill="FFFFFF"/>
          <w:vertAlign w:val="baseline"/>
          <w:lang w:val="en-US"/>
        </w:rPr>
      </w:pPr>
      <w:r>
        <w:rPr>
          <w:rFonts w:hint="eastAsia" w:ascii="仿宋" w:hAnsi="仿宋" w:eastAsia="仿宋" w:cs="仿宋"/>
          <w:i w:val="0"/>
          <w:iCs w:val="0"/>
          <w:caps w:val="0"/>
          <w:color w:val="333333"/>
          <w:spacing w:val="0"/>
          <w:sz w:val="28"/>
          <w:szCs w:val="28"/>
          <w:shd w:val="clear" w:fill="FFFFFF"/>
          <w:vertAlign w:val="baseline"/>
          <w:lang w:val="en-US" w:eastAsia="zh-CN"/>
        </w:rPr>
        <w:t>2.评估对象详细信息：</w:t>
      </w:r>
    </w:p>
    <w:tbl>
      <w:tblPr>
        <w:tblStyle w:val="3"/>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569"/>
        <w:gridCol w:w="1770"/>
        <w:gridCol w:w="1530"/>
        <w:gridCol w:w="1275"/>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shd w:val="clear" w:color="auto" w:fill="CFCECE" w:themeFill="background2" w:themeFillShade="E5"/>
            <w:vAlign w:val="center"/>
          </w:tcPr>
          <w:p>
            <w:pPr>
              <w:keepNext w:val="0"/>
              <w:keepLines w:val="0"/>
              <w:widowControl/>
              <w:suppressLineNumbers w:val="0"/>
              <w:jc w:val="center"/>
              <w:textAlignment w:val="center"/>
              <w:rPr>
                <w:rFonts w:hint="eastAsia" w:ascii="仿宋" w:hAnsi="仿宋" w:eastAsia="仿宋" w:cs="仿宋"/>
                <w:b/>
                <w:bCs/>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序号</w:t>
            </w:r>
          </w:p>
        </w:tc>
        <w:tc>
          <w:tcPr>
            <w:tcW w:w="2569" w:type="dxa"/>
            <w:shd w:val="clear" w:color="auto" w:fill="CFCECE" w:themeFill="background2" w:themeFillShade="E5"/>
            <w:vAlign w:val="center"/>
          </w:tcPr>
          <w:p>
            <w:pPr>
              <w:keepNext w:val="0"/>
              <w:keepLines w:val="0"/>
              <w:widowControl/>
              <w:suppressLineNumbers w:val="0"/>
              <w:jc w:val="center"/>
              <w:textAlignment w:val="center"/>
              <w:rPr>
                <w:rFonts w:hint="eastAsia" w:ascii="仿宋" w:hAnsi="仿宋" w:eastAsia="仿宋" w:cs="仿宋"/>
                <w:b/>
                <w:bCs/>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评估对象</w:t>
            </w:r>
          </w:p>
        </w:tc>
        <w:tc>
          <w:tcPr>
            <w:tcW w:w="1770" w:type="dxa"/>
            <w:shd w:val="clear" w:color="auto" w:fill="CFCECE" w:themeFill="background2" w:themeFillShade="E5"/>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建筑面积（平方米）</w:t>
            </w:r>
          </w:p>
        </w:tc>
        <w:tc>
          <w:tcPr>
            <w:tcW w:w="1530" w:type="dxa"/>
            <w:shd w:val="clear" w:color="auto" w:fill="CFCECE" w:themeFill="background2" w:themeFillShade="E5"/>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性质</w:t>
            </w:r>
          </w:p>
        </w:tc>
        <w:tc>
          <w:tcPr>
            <w:tcW w:w="1275" w:type="dxa"/>
            <w:shd w:val="clear" w:color="auto" w:fill="CFCECE" w:themeFill="background2" w:themeFillShade="E5"/>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用途</w:t>
            </w:r>
          </w:p>
        </w:tc>
        <w:tc>
          <w:tcPr>
            <w:tcW w:w="1275" w:type="dxa"/>
            <w:shd w:val="clear" w:color="auto" w:fill="CFCECE" w:themeFill="background2" w:themeFillShade="E5"/>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1</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福宁路212号</w:t>
            </w:r>
          </w:p>
        </w:tc>
        <w:tc>
          <w:tcPr>
            <w:tcW w:w="17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8.58</w:t>
            </w:r>
          </w:p>
        </w:tc>
        <w:tc>
          <w:tcPr>
            <w:tcW w:w="15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非住宅商铺</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一线商铺</w:t>
            </w:r>
          </w:p>
        </w:tc>
        <w:tc>
          <w:tcPr>
            <w:tcW w:w="1275"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已拆除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2</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福宁路184号</w:t>
            </w:r>
          </w:p>
        </w:tc>
        <w:tc>
          <w:tcPr>
            <w:tcW w:w="17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23.21</w:t>
            </w:r>
          </w:p>
        </w:tc>
        <w:tc>
          <w:tcPr>
            <w:tcW w:w="15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非住宅商铺</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一线商铺</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已拆除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3</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福宁路208号</w:t>
            </w:r>
          </w:p>
        </w:tc>
        <w:tc>
          <w:tcPr>
            <w:tcW w:w="17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75.08</w:t>
            </w:r>
          </w:p>
        </w:tc>
        <w:tc>
          <w:tcPr>
            <w:tcW w:w="15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非住宅商铺</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一线商铺</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已拆除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Align w:val="center"/>
          </w:tcPr>
          <w:p>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4</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福宁路216号、218号</w:t>
            </w:r>
          </w:p>
        </w:tc>
        <w:tc>
          <w:tcPr>
            <w:tcW w:w="17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46.5</w:t>
            </w:r>
          </w:p>
        </w:tc>
        <w:tc>
          <w:tcPr>
            <w:tcW w:w="15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非住宅商铺</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一线商铺</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已拆除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Merge w:val="restart"/>
            <w:vAlign w:val="center"/>
          </w:tcPr>
          <w:p>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bCs/>
                <w:i w:val="0"/>
                <w:iCs w:val="0"/>
                <w:color w:val="000000"/>
                <w:kern w:val="0"/>
                <w:sz w:val="24"/>
                <w:szCs w:val="24"/>
                <w:u w:val="none"/>
                <w:lang w:val="en-US" w:eastAsia="zh-CN" w:bidi="ar"/>
              </w:rPr>
              <w:t>5</w:t>
            </w:r>
          </w:p>
        </w:tc>
        <w:tc>
          <w:tcPr>
            <w:tcW w:w="256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outlineLvl w:val="9"/>
              <w:rPr>
                <w:rFonts w:hint="eastAsia" w:ascii="仿宋" w:hAnsi="仿宋" w:eastAsia="仿宋" w:cs="仿宋"/>
                <w:i w:val="0"/>
                <w:iCs w:val="0"/>
                <w:caps w:val="0"/>
                <w:color w:val="333333"/>
                <w:spacing w:val="0"/>
                <w:sz w:val="24"/>
                <w:szCs w:val="24"/>
                <w:shd w:val="clear" w:fill="FFFFFF"/>
                <w:vertAlign w:val="baseline"/>
              </w:rPr>
            </w:pPr>
            <w:r>
              <w:rPr>
                <w:rFonts w:hint="eastAsia" w:ascii="仿宋" w:hAnsi="仿宋" w:eastAsia="仿宋" w:cs="仿宋"/>
                <w:b w:val="0"/>
                <w:bCs/>
                <w:sz w:val="24"/>
                <w:szCs w:val="24"/>
                <w:lang w:val="en-US" w:eastAsia="zh-CN"/>
              </w:rPr>
              <w:t>福宁路196号</w:t>
            </w:r>
          </w:p>
        </w:tc>
        <w:tc>
          <w:tcPr>
            <w:tcW w:w="17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首层64.68</w:t>
            </w:r>
          </w:p>
        </w:tc>
        <w:tc>
          <w:tcPr>
            <w:tcW w:w="15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非住宅商铺</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一线商铺</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已拆除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40"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p>
        </w:tc>
        <w:tc>
          <w:tcPr>
            <w:tcW w:w="2569" w:type="dxa"/>
            <w:vMerge w:val="continue"/>
            <w:vAlign w:val="center"/>
          </w:tcPr>
          <w:p>
            <w:pPr>
              <w:keepNext w:val="0"/>
              <w:keepLines w:val="0"/>
              <w:widowControl/>
              <w:suppressLineNumbers w:val="0"/>
              <w:jc w:val="center"/>
              <w:textAlignment w:val="center"/>
              <w:rPr>
                <w:rFonts w:hint="eastAsia" w:ascii="仿宋" w:hAnsi="仿宋" w:eastAsia="仿宋" w:cs="仿宋"/>
                <w:i w:val="0"/>
                <w:iCs w:val="0"/>
                <w:caps w:val="0"/>
                <w:color w:val="333333"/>
                <w:spacing w:val="0"/>
                <w:sz w:val="24"/>
                <w:szCs w:val="24"/>
                <w:shd w:val="clear" w:fill="FFFFFF"/>
                <w:vertAlign w:val="baseline"/>
              </w:rPr>
            </w:pPr>
          </w:p>
        </w:tc>
        <w:tc>
          <w:tcPr>
            <w:tcW w:w="177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二层（81.43）</w:t>
            </w:r>
          </w:p>
        </w:tc>
        <w:tc>
          <w:tcPr>
            <w:tcW w:w="15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非住宅</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二层办公用房</w:t>
            </w: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已拆除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09" w:type="dxa"/>
            <w:gridSpan w:val="2"/>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770" w:type="dxa"/>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299.48</w:t>
            </w:r>
          </w:p>
        </w:tc>
        <w:tc>
          <w:tcPr>
            <w:tcW w:w="1530"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75" w:type="dxa"/>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i w:val="0"/>
          <w:iCs w:val="0"/>
          <w:caps w:val="0"/>
          <w:color w:val="333333"/>
          <w:spacing w:val="0"/>
          <w:sz w:val="24"/>
          <w:szCs w:val="24"/>
          <w:shd w:val="clear" w:fill="FFFFFF"/>
          <w:vertAlign w:val="baseli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二</w:t>
      </w: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1.中标供应商通过执行资产评估工作，出具资产评估报告。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default" w:ascii="仿宋" w:hAnsi="仿宋" w:eastAsia="仿宋" w:cs="仿宋"/>
          <w:b/>
          <w:bCs w:val="0"/>
          <w:sz w:val="28"/>
          <w:szCs w:val="28"/>
          <w:highlight w:val="none"/>
          <w:lang w:val="en-US" w:eastAsia="zh-CN"/>
        </w:rPr>
      </w:pPr>
      <w:r>
        <w:rPr>
          <w:rFonts w:hint="eastAsia" w:ascii="仿宋" w:hAnsi="仿宋" w:eastAsia="仿宋" w:cs="仿宋"/>
          <w:b/>
          <w:bCs w:val="0"/>
          <w:sz w:val="28"/>
          <w:szCs w:val="28"/>
          <w:highlight w:val="none"/>
          <w:lang w:val="en-US" w:eastAsia="zh-CN"/>
        </w:rPr>
        <w:t>★2.中标供应商出具的评估报告，价值评估对比案例的依据须借鉴福宁路周边商铺及同类型医院周边商铺商铺的相关数据。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3.服务时间：合同签订后7个工作日内完成资产评估服务，向采购人提交《资产评估报告（征求意见稿）》，在收到采购人出具正式评估报告通知后3个工作日内出具正式《资产评估报告》。</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4.服务地点：佛山市禅城区福宁路采购人指点定点。</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三</w:t>
      </w: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评估准则要求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供应商参照《资产评估准则一基本准则》（财资［2017]43号）、《资产评估执业准则-﹣利用专家工作及相关报告》（中评协［2017]35号）、《资产评估执业准则﹣﹣资产评估报告》（中评协［2018]35号）;《资产评估执业准则﹣﹣资产评估程序》（中评协（2018)36号）、《资产评估执业准则﹣﹣企业价值》（中评协（2018)38号）规定出具资产评估报告。</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outlineLvl w:val="1"/>
        <w:rPr>
          <w:rFonts w:hint="eastAsia" w:ascii="仿宋" w:hAnsi="仿宋" w:eastAsia="仿宋" w:cs="仿宋"/>
          <w:b/>
          <w:sz w:val="28"/>
          <w:szCs w:val="28"/>
          <w:shd w:val="clear" w:color="auto" w:fill="FFFFFF"/>
        </w:rPr>
      </w:pPr>
      <w:r>
        <w:rPr>
          <w:rFonts w:hint="eastAsia" w:ascii="仿宋" w:hAnsi="仿宋" w:eastAsia="仿宋" w:cs="仿宋"/>
          <w:b/>
          <w:sz w:val="28"/>
          <w:szCs w:val="28"/>
          <w:shd w:val="clear" w:color="auto" w:fill="FFFFFF"/>
          <w:lang w:val="en-US" w:eastAsia="zh-CN"/>
        </w:rPr>
        <w:t>三</w:t>
      </w:r>
      <w:r>
        <w:rPr>
          <w:rFonts w:hint="eastAsia" w:ascii="仿宋" w:hAnsi="仿宋" w:eastAsia="仿宋" w:cs="仿宋"/>
          <w:b/>
          <w:sz w:val="28"/>
          <w:szCs w:val="28"/>
          <w:shd w:val="clear" w:color="auto" w:fill="FFFFFF"/>
        </w:rPr>
        <w:t>、项目</w:t>
      </w:r>
      <w:r>
        <w:rPr>
          <w:rFonts w:hint="eastAsia" w:ascii="仿宋" w:hAnsi="仿宋" w:eastAsia="仿宋" w:cs="仿宋"/>
          <w:b/>
          <w:sz w:val="28"/>
          <w:szCs w:val="28"/>
          <w:shd w:val="clear" w:color="auto" w:fill="FFFFFF"/>
          <w:lang w:val="en-US" w:eastAsia="zh-CN"/>
        </w:rPr>
        <w:t>商务</w:t>
      </w:r>
      <w:r>
        <w:rPr>
          <w:rFonts w:hint="eastAsia" w:ascii="仿宋" w:hAnsi="仿宋" w:eastAsia="仿宋" w:cs="仿宋"/>
          <w:b/>
          <w:sz w:val="28"/>
          <w:szCs w:val="28"/>
          <w:shd w:val="clear" w:color="auto" w:fill="FFFFFF"/>
        </w:rPr>
        <w:t>要求</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（一）</w:t>
      </w:r>
      <w:r>
        <w:rPr>
          <w:rFonts w:hint="eastAsia" w:ascii="仿宋" w:hAnsi="仿宋" w:eastAsia="仿宋" w:cs="仿宋"/>
          <w:b/>
          <w:bCs w:val="0"/>
          <w:sz w:val="28"/>
          <w:szCs w:val="28"/>
          <w:lang w:val="en-US" w:eastAsia="zh-CN"/>
        </w:rPr>
        <w:t>报价要求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报价包括技术服务费、技术人员的工勤费用（包括工资、福利、交通、住宿、通讯费用等）、培训辅导、全额含税发票、雇员费用、项目实施过程中的应预见或不可预见费用等。</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仿宋" w:hAnsi="仿宋" w:eastAsia="仿宋" w:cs="仿宋"/>
          <w:b/>
          <w:bCs w:val="0"/>
          <w:sz w:val="28"/>
          <w:szCs w:val="28"/>
          <w:lang w:val="en-US" w:eastAsia="zh-CN"/>
        </w:rPr>
      </w:pP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二</w:t>
      </w:r>
      <w:r>
        <w:rPr>
          <w:rFonts w:hint="eastAsia" w:ascii="仿宋" w:hAnsi="仿宋" w:eastAsia="仿宋" w:cs="仿宋"/>
          <w:b/>
          <w:bCs w:val="0"/>
          <w:sz w:val="28"/>
          <w:szCs w:val="28"/>
        </w:rPr>
        <w:t>）</w:t>
      </w:r>
      <w:r>
        <w:rPr>
          <w:rFonts w:hint="eastAsia" w:ascii="仿宋" w:hAnsi="仿宋" w:eastAsia="仿宋" w:cs="仿宋"/>
          <w:b/>
          <w:bCs w:val="0"/>
          <w:sz w:val="28"/>
          <w:szCs w:val="28"/>
          <w:lang w:val="en-US" w:eastAsia="zh-CN"/>
        </w:rPr>
        <w:t>付款方式</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outlineLvl w:val="9"/>
        <w:rPr>
          <w:rFonts w:hint="eastAsia" w:ascii="仿宋" w:hAnsi="仿宋" w:eastAsia="仿宋" w:cs="仿宋"/>
          <w:b w:val="0"/>
          <w:bCs/>
          <w:sz w:val="28"/>
          <w:szCs w:val="28"/>
          <w:lang w:val="en-US" w:eastAsia="zh-CN"/>
        </w:rPr>
      </w:pPr>
      <w:bookmarkStart w:id="1" w:name="_GoBack"/>
      <w:r>
        <w:rPr>
          <w:rFonts w:hint="eastAsia" w:ascii="仿宋" w:hAnsi="仿宋" w:eastAsia="仿宋" w:cs="仿宋"/>
          <w:b w:val="0"/>
          <w:bCs/>
          <w:sz w:val="28"/>
          <w:szCs w:val="28"/>
          <w:lang w:val="en-US" w:eastAsia="zh-CN"/>
        </w:rPr>
        <w:t>供应商完成合同约定的服务内容并向采购人提供相关纸质报告书及电子版，采购人总体验收合格且通过佛山市财政局确认后，</w:t>
      </w:r>
      <w:r>
        <w:rPr>
          <w:rFonts w:hint="eastAsia" w:ascii="仿宋" w:hAnsi="仿宋" w:eastAsia="仿宋" w:cs="仿宋"/>
          <w:b w:val="0"/>
          <w:bCs/>
          <w:sz w:val="28"/>
          <w:szCs w:val="28"/>
          <w:lang w:val="en-US" w:eastAsia="zh-CN"/>
        </w:rPr>
        <w:t>供应商开具合法全额发票采购人在收到发票之日起30个工作日内支付合同金额的100%。</w:t>
      </w:r>
    </w:p>
    <w:bookmarkEnd w:id="1"/>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default" w:ascii="宋体" w:hAnsi="宋体" w:eastAsia="宋体" w:cs="宋体"/>
          <w:b w:val="0"/>
          <w:bCs/>
          <w:sz w:val="24"/>
          <w:szCs w:val="24"/>
          <w:lang w:val="en-US" w:eastAsia="zh-CN"/>
        </w:rPr>
      </w:pPr>
    </w:p>
    <w:p>
      <w:pPr>
        <w:spacing w:line="360" w:lineRule="auto"/>
        <w:ind w:firstLine="480" w:firstLineChars="200"/>
        <w:rPr>
          <w:rFonts w:ascii="宋体" w:hAnsi="宋体" w:cs="宋体"/>
          <w:bCs/>
          <w:sz w:val="24"/>
        </w:rPr>
      </w:pPr>
    </w:p>
    <w:p>
      <w:pPr>
        <w:jc w:val="center"/>
        <w:rPr>
          <w:rFonts w:hint="eastAsia" w:asciiTheme="minorEastAsia" w:hAnsiTheme="minorEastAsia" w:cstheme="minorEastAsia"/>
          <w:b/>
          <w:bCs/>
          <w:sz w:val="24"/>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1C5C60"/>
    <w:multiLevelType w:val="singleLevel"/>
    <w:tmpl w:val="4F1C5C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A9049F"/>
    <w:rsid w:val="019C186D"/>
    <w:rsid w:val="026735A3"/>
    <w:rsid w:val="0348249A"/>
    <w:rsid w:val="0C607A34"/>
    <w:rsid w:val="15A9049F"/>
    <w:rsid w:val="20827A42"/>
    <w:rsid w:val="230E1A60"/>
    <w:rsid w:val="2CB9136D"/>
    <w:rsid w:val="3C8E7F14"/>
    <w:rsid w:val="3FC27A03"/>
    <w:rsid w:val="42026020"/>
    <w:rsid w:val="423102E0"/>
    <w:rsid w:val="53B8749A"/>
    <w:rsid w:val="593C2B52"/>
    <w:rsid w:val="5CFF35BE"/>
    <w:rsid w:val="662C1B15"/>
    <w:rsid w:val="66B772E6"/>
    <w:rsid w:val="67C20264"/>
    <w:rsid w:val="6BE33481"/>
    <w:rsid w:val="73742725"/>
    <w:rsid w:val="74051691"/>
    <w:rsid w:val="74AA0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
    <w:name w:val="font11"/>
    <w:basedOn w:val="4"/>
    <w:uiPriority w:val="0"/>
    <w:rPr>
      <w:rFonts w:hint="default" w:ascii="Times New Roman" w:hAnsi="Times New Roman" w:cs="Times New Roman"/>
      <w:color w:val="000000"/>
      <w:sz w:val="24"/>
      <w:szCs w:val="24"/>
      <w:u w:val="none"/>
    </w:rPr>
  </w:style>
  <w:style w:type="character" w:customStyle="1" w:styleId="6">
    <w:name w:val="font01"/>
    <w:basedOn w:val="4"/>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1096</Words>
  <Characters>1192</Characters>
  <Lines>0</Lines>
  <Paragraphs>0</Paragraphs>
  <TotalTime>3</TotalTime>
  <ScaleCrop>false</ScaleCrop>
  <LinksUpToDate>false</LinksUpToDate>
  <CharactersWithSpaces>1193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2025-05-08T06:09:00Z</dcterms:created>
  <dc:creator>周佩明</dc:creator>
  <cp:lastModifiedBy>zzc</cp:lastModifiedBy>
  <dcterms:modified xsi:type="dcterms:W3CDTF">2025-05-26T02:42:52Z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E264EED74AA3471AB1D0F9CF7D512442</vt:lpwstr>
  </property>
  <property fmtid="{D5CDD505-2E9C-101B-9397-08002B2CF9AE}" pid="4" name="KSOTemplateDocerSaveRecord">
    <vt:lpwstr>eyJoZGlkIjoiODdjZWYxODA0YmYzYzlkZGI0YzNjMzgxMDRlOWUyNzgiLCJ1c2VySWQiOiIyMDQzMzM3MTUifQ==</vt:lpwstr>
  </property>
</Properties>
</file>