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055783">
      <w:pPr>
        <w:jc w:val="center"/>
        <w:rPr>
          <w:rFonts w:hint="eastAsia" w:ascii="黑体" w:hAnsi="黑体" w:eastAsia="黑体" w:cs="黑体"/>
          <w:sz w:val="32"/>
          <w:szCs w:val="32"/>
          <w:lang w:val="en-US" w:eastAsia="zh-CN"/>
        </w:rPr>
      </w:pPr>
      <w:r>
        <w:rPr>
          <w:rFonts w:hint="eastAsia" w:ascii="黑体" w:hAnsi="黑体" w:eastAsia="黑体" w:cs="黑体"/>
          <w:b/>
          <w:bCs/>
          <w:sz w:val="32"/>
          <w:szCs w:val="32"/>
          <w:lang w:val="en-US" w:eastAsia="zh-CN"/>
        </w:rPr>
        <w:t>采购需求</w:t>
      </w:r>
    </w:p>
    <w:p w14:paraId="672B9A93">
      <w:pPr>
        <w:jc w:val="center"/>
        <w:rPr>
          <w:rFonts w:hint="eastAsia"/>
          <w:lang w:val="en-US" w:eastAsia="zh-CN"/>
        </w:rPr>
      </w:pPr>
    </w:p>
    <w:p w14:paraId="161AAECA">
      <w:pPr>
        <w:spacing w:line="360" w:lineRule="auto"/>
        <w:jc w:val="center"/>
        <w:outlineLvl w:val="1"/>
        <w:rPr>
          <w:rFonts w:hint="eastAsia" w:ascii="仿宋" w:hAnsi="仿宋" w:eastAsia="仿宋" w:cs="仿宋"/>
          <w:b/>
          <w:sz w:val="32"/>
          <w:szCs w:val="32"/>
          <w:shd w:val="clear" w:color="auto" w:fill="FFFFFF"/>
        </w:rPr>
      </w:pPr>
      <w:bookmarkStart w:id="0" w:name="_Toc107297762"/>
      <w:r>
        <w:rPr>
          <w:rFonts w:hint="eastAsia" w:ascii="仿宋" w:hAnsi="仿宋" w:eastAsia="仿宋" w:cs="仿宋"/>
          <w:b/>
          <w:sz w:val="32"/>
          <w:szCs w:val="32"/>
          <w:shd w:val="clear" w:color="auto" w:fill="FFFFFF"/>
        </w:rPr>
        <w:t>一、采购项目供应商资格要求</w:t>
      </w:r>
      <w:bookmarkEnd w:id="0"/>
    </w:p>
    <w:p w14:paraId="6AA39DE8">
      <w:pPr>
        <w:pStyle w:val="5"/>
        <w:keepNext w:val="0"/>
        <w:keepLines w:val="0"/>
        <w:pageBreakBefore w:val="0"/>
        <w:widowControl/>
        <w:numPr>
          <w:ilvl w:val="0"/>
          <w:numId w:val="0"/>
        </w:numPr>
        <w:tabs>
          <w:tab w:val="left" w:pos="432"/>
          <w:tab w:val="left" w:pos="567"/>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1、</w:t>
      </w:r>
      <w:r>
        <w:rPr>
          <w:rFonts w:hint="eastAsia" w:ascii="仿宋" w:hAnsi="仿宋" w:eastAsia="仿宋" w:cs="仿宋"/>
          <w:sz w:val="28"/>
          <w:szCs w:val="28"/>
        </w:rPr>
        <w:t>供应商须是国内合法注册的企业,能独立承担民事责任；</w:t>
      </w:r>
    </w:p>
    <w:p w14:paraId="3284CDC6">
      <w:pPr>
        <w:pStyle w:val="5"/>
        <w:keepNext w:val="0"/>
        <w:keepLines w:val="0"/>
        <w:pageBreakBefore w:val="0"/>
        <w:widowControl/>
        <w:numPr>
          <w:ilvl w:val="0"/>
          <w:numId w:val="0"/>
        </w:numPr>
        <w:tabs>
          <w:tab w:val="left" w:pos="432"/>
          <w:tab w:val="left" w:pos="567"/>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2、</w:t>
      </w:r>
      <w:r>
        <w:rPr>
          <w:rFonts w:hint="eastAsia" w:ascii="仿宋" w:hAnsi="仿宋" w:eastAsia="仿宋" w:cs="仿宋"/>
          <w:sz w:val="28"/>
          <w:szCs w:val="28"/>
        </w:rPr>
        <w:t>供应商未被列入“信用中国”网站(www.creditchina.gov.cn)的“失信被执行人或重大税收违法案件当事人名单或政府采购严重违法失信行为”记录名单；未处于中国政府采购网(www.ccgp.gov.cn)“政府采购严重违法失信行为信息记录”中的禁止参加政府采购活动期间。（以采购代理机构于采购公告后在“信用中国”网站；（www.creditchina.gov.cn）及中国政府采购网(www.ccgp.gov.cn)查询结果为准，如相关失信记录已失效，供应商需在投标文件中提供相关证明资料）；</w:t>
      </w:r>
    </w:p>
    <w:p w14:paraId="1F7BF00A">
      <w:pPr>
        <w:pStyle w:val="5"/>
        <w:keepNext w:val="0"/>
        <w:keepLines w:val="0"/>
        <w:pageBreakBefore w:val="0"/>
        <w:widowControl/>
        <w:numPr>
          <w:ilvl w:val="0"/>
          <w:numId w:val="0"/>
        </w:numPr>
        <w:tabs>
          <w:tab w:val="left" w:pos="432"/>
          <w:tab w:val="left" w:pos="567"/>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3、</w:t>
      </w:r>
      <w:r>
        <w:rPr>
          <w:rFonts w:hint="eastAsia" w:ascii="仿宋" w:hAnsi="仿宋" w:eastAsia="仿宋" w:cs="仿宋"/>
          <w:sz w:val="28"/>
          <w:szCs w:val="28"/>
        </w:rPr>
        <w:t>供应商（含其授权的下属单位、分支机构）在近三年内（自采购公告发布之日起往前推三年）经营活动中无重大违法记录；</w:t>
      </w:r>
    </w:p>
    <w:p w14:paraId="6E607D7E">
      <w:pPr>
        <w:pStyle w:val="5"/>
        <w:keepNext w:val="0"/>
        <w:keepLines w:val="0"/>
        <w:pageBreakBefore w:val="0"/>
        <w:widowControl/>
        <w:numPr>
          <w:ilvl w:val="0"/>
          <w:numId w:val="0"/>
        </w:numPr>
        <w:tabs>
          <w:tab w:val="left" w:pos="432"/>
          <w:tab w:val="left" w:pos="567"/>
        </w:tabs>
        <w:kinsoku/>
        <w:wordWrap/>
        <w:overflowPunct/>
        <w:topLinePunct w:val="0"/>
        <w:autoSpaceDE/>
        <w:autoSpaceDN/>
        <w:bidi w:val="0"/>
        <w:adjustRightInd/>
        <w:snapToGrid/>
        <w:spacing w:line="360" w:lineRule="auto"/>
        <w:ind w:left="0" w:leftChars="0" w:firstLine="560" w:firstLineChars="200"/>
        <w:jc w:val="left"/>
        <w:textAlignment w:val="auto"/>
        <w:rPr>
          <w:rFonts w:hint="eastAsia" w:ascii="仿宋" w:hAnsi="仿宋" w:eastAsia="仿宋" w:cs="仿宋"/>
          <w:bCs/>
          <w:sz w:val="28"/>
          <w:szCs w:val="28"/>
          <w:lang w:val="zh-CN"/>
        </w:rPr>
      </w:pPr>
      <w:r>
        <w:rPr>
          <w:rFonts w:hint="eastAsia" w:ascii="仿宋" w:hAnsi="仿宋" w:eastAsia="仿宋" w:cs="仿宋"/>
          <w:sz w:val="28"/>
          <w:szCs w:val="28"/>
          <w:lang w:val="en-US" w:eastAsia="zh-CN"/>
        </w:rPr>
        <w:t>4、</w:t>
      </w:r>
      <w:r>
        <w:rPr>
          <w:rFonts w:hint="eastAsia" w:ascii="仿宋" w:hAnsi="仿宋" w:eastAsia="仿宋" w:cs="仿宋"/>
          <w:sz w:val="28"/>
          <w:szCs w:val="28"/>
        </w:rPr>
        <w:t>本项目不接受联合体方式投标。</w:t>
      </w:r>
    </w:p>
    <w:p w14:paraId="64437C1E">
      <w:pPr>
        <w:spacing w:line="360" w:lineRule="auto"/>
        <w:jc w:val="center"/>
        <w:outlineLvl w:val="1"/>
        <w:rPr>
          <w:rFonts w:hint="eastAsia" w:ascii="仿宋" w:hAnsi="仿宋" w:eastAsia="仿宋" w:cs="仿宋"/>
          <w:b/>
          <w:sz w:val="32"/>
          <w:szCs w:val="32"/>
          <w:shd w:val="clear" w:color="auto" w:fill="FFFFFF"/>
        </w:rPr>
      </w:pPr>
      <w:r>
        <w:rPr>
          <w:rFonts w:hint="eastAsia" w:ascii="仿宋" w:hAnsi="仿宋" w:eastAsia="仿宋" w:cs="仿宋"/>
          <w:b/>
          <w:sz w:val="32"/>
          <w:szCs w:val="32"/>
          <w:shd w:val="clear" w:color="auto" w:fill="FFFFFF"/>
        </w:rPr>
        <w:t>二、采购项目技术要求</w:t>
      </w:r>
    </w:p>
    <w:p w14:paraId="58FF9186">
      <w:pPr>
        <w:pStyle w:val="5"/>
        <w:keepNext w:val="0"/>
        <w:keepLines w:val="0"/>
        <w:pageBreakBefore w:val="0"/>
        <w:widowControl/>
        <w:tabs>
          <w:tab w:val="left" w:pos="0"/>
        </w:tabs>
        <w:kinsoku/>
        <w:wordWrap/>
        <w:overflowPunct/>
        <w:topLinePunct w:val="0"/>
        <w:autoSpaceDE/>
        <w:autoSpaceDN/>
        <w:bidi w:val="0"/>
        <w:adjustRightInd/>
        <w:snapToGrid/>
        <w:spacing w:line="360" w:lineRule="auto"/>
        <w:ind w:firstLine="562" w:firstLineChars="200"/>
        <w:jc w:val="left"/>
        <w:textAlignment w:val="auto"/>
        <w:outlineLvl w:val="2"/>
        <w:rPr>
          <w:rFonts w:hint="eastAsia" w:ascii="仿宋" w:hAnsi="仿宋" w:eastAsia="仿宋" w:cs="仿宋"/>
          <w:b/>
          <w:sz w:val="28"/>
          <w:szCs w:val="28"/>
        </w:rPr>
      </w:pPr>
      <w:r>
        <w:rPr>
          <w:rStyle w:val="6"/>
          <w:rFonts w:hint="eastAsia" w:ascii="仿宋" w:hAnsi="仿宋" w:eastAsia="仿宋" w:cs="仿宋"/>
          <w:b/>
          <w:bCs/>
          <w:kern w:val="0"/>
          <w:sz w:val="28"/>
          <w:szCs w:val="28"/>
          <w:lang w:val="en-US"/>
        </w:rPr>
        <w:t>1.</w:t>
      </w:r>
      <w:r>
        <w:rPr>
          <w:rStyle w:val="6"/>
          <w:rFonts w:hint="eastAsia" w:ascii="仿宋" w:hAnsi="仿宋" w:eastAsia="仿宋" w:cs="仿宋"/>
          <w:b/>
          <w:bCs/>
          <w:kern w:val="0"/>
          <w:sz w:val="28"/>
          <w:szCs w:val="28"/>
        </w:rPr>
        <w:t>采</w:t>
      </w:r>
      <w:r>
        <w:rPr>
          <w:rStyle w:val="6"/>
          <w:rFonts w:hint="eastAsia" w:ascii="仿宋" w:hAnsi="仿宋" w:eastAsia="仿宋" w:cs="仿宋"/>
          <w:b/>
          <w:kern w:val="0"/>
          <w:sz w:val="28"/>
          <w:szCs w:val="28"/>
        </w:rPr>
        <w:t>购</w:t>
      </w:r>
      <w:r>
        <w:rPr>
          <w:rStyle w:val="6"/>
          <w:rFonts w:hint="eastAsia" w:ascii="仿宋" w:hAnsi="仿宋" w:eastAsia="仿宋" w:cs="仿宋"/>
          <w:b/>
          <w:kern w:val="0"/>
          <w:sz w:val="28"/>
          <w:szCs w:val="28"/>
          <w:lang w:val="en-US"/>
        </w:rPr>
        <w:t>清单</w:t>
      </w:r>
      <w:r>
        <w:rPr>
          <w:rFonts w:hint="eastAsia" w:ascii="仿宋" w:hAnsi="仿宋" w:eastAsia="仿宋" w:cs="仿宋"/>
          <w:b/>
          <w:sz w:val="28"/>
          <w:szCs w:val="28"/>
        </w:rPr>
        <w:t>：</w:t>
      </w:r>
    </w:p>
    <w:tbl>
      <w:tblPr>
        <w:tblStyle w:val="3"/>
        <w:tblW w:w="8805" w:type="dxa"/>
        <w:tblInd w:w="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705"/>
        <w:gridCol w:w="1896"/>
        <w:gridCol w:w="1513"/>
        <w:gridCol w:w="2883"/>
      </w:tblGrid>
      <w:tr w14:paraId="3C348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trPr>
        <w:tc>
          <w:tcPr>
            <w:tcW w:w="808" w:type="dxa"/>
            <w:shd w:val="clear" w:color="auto" w:fill="D9D9D9"/>
            <w:noWrap w:val="0"/>
            <w:vAlign w:val="center"/>
          </w:tcPr>
          <w:p w14:paraId="44DF61D9">
            <w:pPr>
              <w:widowControl/>
              <w:jc w:val="center"/>
              <w:rPr>
                <w:rFonts w:hint="eastAsia" w:ascii="仿宋" w:hAnsi="仿宋" w:eastAsia="仿宋" w:cs="仿宋"/>
                <w:b w:val="0"/>
                <w:bCs/>
                <w:kern w:val="0"/>
                <w:sz w:val="28"/>
                <w:szCs w:val="28"/>
              </w:rPr>
            </w:pPr>
            <w:r>
              <w:rPr>
                <w:rFonts w:hint="eastAsia" w:ascii="仿宋" w:hAnsi="仿宋" w:eastAsia="仿宋" w:cs="仿宋"/>
                <w:b w:val="0"/>
                <w:bCs/>
                <w:kern w:val="0"/>
                <w:sz w:val="28"/>
                <w:szCs w:val="28"/>
              </w:rPr>
              <w:t>序号</w:t>
            </w:r>
          </w:p>
        </w:tc>
        <w:tc>
          <w:tcPr>
            <w:tcW w:w="1705" w:type="dxa"/>
            <w:shd w:val="clear" w:color="auto" w:fill="D9D9D9"/>
            <w:noWrap w:val="0"/>
            <w:vAlign w:val="center"/>
          </w:tcPr>
          <w:p w14:paraId="443C6BDF">
            <w:pPr>
              <w:jc w:val="center"/>
              <w:rPr>
                <w:rFonts w:hint="eastAsia"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品目名称</w:t>
            </w:r>
          </w:p>
        </w:tc>
        <w:tc>
          <w:tcPr>
            <w:tcW w:w="1896" w:type="dxa"/>
            <w:shd w:val="clear" w:color="auto" w:fill="D9D9D9"/>
            <w:noWrap w:val="0"/>
            <w:vAlign w:val="center"/>
          </w:tcPr>
          <w:p w14:paraId="227918A0">
            <w:pPr>
              <w:jc w:val="center"/>
              <w:rPr>
                <w:rFonts w:hint="default" w:ascii="仿宋" w:hAnsi="仿宋" w:eastAsia="仿宋" w:cs="仿宋"/>
                <w:b w:val="0"/>
                <w:bCs/>
                <w:sz w:val="28"/>
                <w:szCs w:val="28"/>
                <w:lang w:val="en-US" w:eastAsia="zh-CN"/>
              </w:rPr>
            </w:pPr>
            <w:r>
              <w:rPr>
                <w:rFonts w:hint="eastAsia" w:ascii="仿宋" w:hAnsi="仿宋" w:eastAsia="仿宋" w:cs="仿宋"/>
                <w:b w:val="0"/>
                <w:bCs/>
                <w:sz w:val="28"/>
                <w:szCs w:val="28"/>
                <w:lang w:val="en-US" w:eastAsia="zh-CN"/>
              </w:rPr>
              <w:t>品牌</w:t>
            </w:r>
          </w:p>
        </w:tc>
        <w:tc>
          <w:tcPr>
            <w:tcW w:w="1513" w:type="dxa"/>
            <w:shd w:val="clear" w:color="auto" w:fill="D9D9D9"/>
            <w:noWrap w:val="0"/>
            <w:vAlign w:val="center"/>
          </w:tcPr>
          <w:p w14:paraId="2CF640ED">
            <w:pPr>
              <w:snapToGrid w:val="0"/>
              <w:jc w:val="center"/>
              <w:textAlignment w:val="baseline"/>
              <w:rPr>
                <w:rStyle w:val="6"/>
                <w:rFonts w:hint="eastAsia" w:ascii="仿宋" w:hAnsi="仿宋" w:eastAsia="仿宋" w:cs="仿宋"/>
                <w:b w:val="0"/>
                <w:bCs/>
                <w:sz w:val="28"/>
                <w:szCs w:val="28"/>
                <w:lang w:val="en-US"/>
              </w:rPr>
            </w:pPr>
            <w:r>
              <w:rPr>
                <w:rStyle w:val="6"/>
                <w:rFonts w:hint="eastAsia" w:ascii="仿宋" w:hAnsi="仿宋" w:eastAsia="仿宋" w:cs="仿宋"/>
                <w:b w:val="0"/>
                <w:bCs/>
                <w:sz w:val="28"/>
                <w:szCs w:val="28"/>
                <w:lang w:val="en-US"/>
              </w:rPr>
              <w:t>采购数量</w:t>
            </w:r>
          </w:p>
        </w:tc>
        <w:tc>
          <w:tcPr>
            <w:tcW w:w="2883" w:type="dxa"/>
            <w:shd w:val="clear" w:color="auto" w:fill="D9D9D9"/>
            <w:noWrap w:val="0"/>
            <w:vAlign w:val="center"/>
          </w:tcPr>
          <w:p w14:paraId="0EDFEE04">
            <w:pPr>
              <w:snapToGrid w:val="0"/>
              <w:jc w:val="center"/>
              <w:textAlignment w:val="baseline"/>
              <w:rPr>
                <w:rStyle w:val="6"/>
                <w:rFonts w:hint="eastAsia" w:ascii="仿宋" w:hAnsi="仿宋" w:eastAsia="仿宋" w:cs="仿宋"/>
                <w:b w:val="0"/>
                <w:bCs/>
                <w:sz w:val="28"/>
                <w:szCs w:val="28"/>
                <w:lang w:val="en-US"/>
              </w:rPr>
            </w:pPr>
            <w:r>
              <w:rPr>
                <w:rStyle w:val="6"/>
                <w:rFonts w:hint="eastAsia" w:ascii="仿宋" w:hAnsi="仿宋" w:eastAsia="仿宋" w:cs="仿宋"/>
                <w:b w:val="0"/>
                <w:bCs/>
                <w:sz w:val="28"/>
                <w:szCs w:val="28"/>
                <w:lang w:val="en-US"/>
              </w:rPr>
              <w:t>预算金额</w:t>
            </w:r>
          </w:p>
        </w:tc>
      </w:tr>
      <w:tr w14:paraId="3900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08" w:type="dxa"/>
            <w:noWrap w:val="0"/>
            <w:vAlign w:val="center"/>
          </w:tcPr>
          <w:p w14:paraId="47EA7CDF">
            <w:pPr>
              <w:widowControl/>
              <w:jc w:val="center"/>
              <w:rPr>
                <w:rFonts w:hint="eastAsia" w:ascii="仿宋" w:hAnsi="仿宋" w:eastAsia="仿宋" w:cs="仿宋"/>
                <w:bCs/>
                <w:kern w:val="0"/>
                <w:sz w:val="28"/>
                <w:szCs w:val="28"/>
              </w:rPr>
            </w:pPr>
            <w:r>
              <w:rPr>
                <w:rFonts w:hint="eastAsia" w:ascii="仿宋" w:hAnsi="仿宋" w:eastAsia="仿宋" w:cs="仿宋"/>
                <w:bCs/>
                <w:kern w:val="0"/>
                <w:sz w:val="28"/>
                <w:szCs w:val="28"/>
              </w:rPr>
              <w:t>1</w:t>
            </w:r>
          </w:p>
        </w:tc>
        <w:tc>
          <w:tcPr>
            <w:tcW w:w="1705" w:type="dxa"/>
            <w:noWrap w:val="0"/>
            <w:vAlign w:val="center"/>
          </w:tcPr>
          <w:p w14:paraId="00F629E4">
            <w:pPr>
              <w:jc w:val="center"/>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运动套装</w:t>
            </w:r>
          </w:p>
        </w:tc>
        <w:tc>
          <w:tcPr>
            <w:tcW w:w="1896" w:type="dxa"/>
            <w:noWrap w:val="0"/>
            <w:vAlign w:val="center"/>
          </w:tcPr>
          <w:p w14:paraId="0B9230C5">
            <w:pPr>
              <w:jc w:val="center"/>
              <w:rPr>
                <w:rFonts w:hint="eastAsia" w:ascii="仿宋" w:hAnsi="仿宋" w:eastAsia="仿宋" w:cs="仿宋"/>
                <w:bCs/>
                <w:sz w:val="28"/>
                <w:szCs w:val="28"/>
                <w:lang w:val="en-US" w:eastAsia="zh-CN"/>
              </w:rPr>
            </w:pPr>
            <w:r>
              <w:rPr>
                <w:rFonts w:hint="eastAsia" w:ascii="仿宋" w:hAnsi="仿宋" w:eastAsia="仿宋" w:cs="仿宋"/>
                <w:bCs/>
                <w:sz w:val="28"/>
                <w:szCs w:val="28"/>
                <w:lang w:val="en-US" w:eastAsia="zh-CN"/>
              </w:rPr>
              <w:t>国产运动品牌</w:t>
            </w:r>
          </w:p>
        </w:tc>
        <w:tc>
          <w:tcPr>
            <w:tcW w:w="1513" w:type="dxa"/>
            <w:noWrap w:val="0"/>
            <w:vAlign w:val="center"/>
          </w:tcPr>
          <w:p w14:paraId="14E049EA">
            <w:pPr>
              <w:jc w:val="center"/>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830</w:t>
            </w:r>
          </w:p>
        </w:tc>
        <w:tc>
          <w:tcPr>
            <w:tcW w:w="2883" w:type="dxa"/>
            <w:noWrap w:val="0"/>
            <w:vAlign w:val="center"/>
          </w:tcPr>
          <w:p w14:paraId="154F94FE">
            <w:pPr>
              <w:jc w:val="center"/>
              <w:rPr>
                <w:rFonts w:hint="default" w:ascii="仿宋" w:hAnsi="仿宋" w:eastAsia="仿宋" w:cs="仿宋"/>
                <w:bCs/>
                <w:sz w:val="28"/>
                <w:szCs w:val="28"/>
                <w:lang w:val="en-US" w:eastAsia="zh-CN"/>
              </w:rPr>
            </w:pPr>
            <w:r>
              <w:rPr>
                <w:rFonts w:hint="eastAsia" w:ascii="仿宋" w:hAnsi="仿宋" w:eastAsia="仿宋" w:cs="仿宋"/>
                <w:bCs/>
                <w:sz w:val="28"/>
                <w:szCs w:val="28"/>
                <w:lang w:val="en-US" w:eastAsia="zh-CN"/>
              </w:rPr>
              <w:t>66400</w:t>
            </w:r>
          </w:p>
        </w:tc>
      </w:tr>
    </w:tbl>
    <w:p w14:paraId="6A8499EC">
      <w:pPr>
        <w:pStyle w:val="5"/>
        <w:keepNext w:val="0"/>
        <w:keepLines w:val="0"/>
        <w:pageBreakBefore w:val="0"/>
        <w:widowControl/>
        <w:tabs>
          <w:tab w:val="left" w:pos="0"/>
        </w:tabs>
        <w:kinsoku/>
        <w:wordWrap/>
        <w:overflowPunct/>
        <w:topLinePunct w:val="0"/>
        <w:autoSpaceDE/>
        <w:autoSpaceDN/>
        <w:bidi w:val="0"/>
        <w:adjustRightInd/>
        <w:snapToGrid/>
        <w:spacing w:before="313" w:beforeLines="100" w:line="360" w:lineRule="auto"/>
        <w:ind w:firstLine="562" w:firstLineChars="200"/>
        <w:jc w:val="left"/>
        <w:textAlignment w:val="auto"/>
        <w:outlineLvl w:val="2"/>
        <w:rPr>
          <w:rStyle w:val="6"/>
          <w:rFonts w:hint="default" w:ascii="仿宋" w:hAnsi="仿宋" w:eastAsia="仿宋" w:cs="仿宋"/>
          <w:b/>
          <w:bCs/>
          <w:kern w:val="0"/>
          <w:sz w:val="28"/>
          <w:szCs w:val="28"/>
          <w:lang w:val="en-US" w:eastAsia="zh-CN"/>
        </w:rPr>
      </w:pPr>
      <w:r>
        <w:rPr>
          <w:rStyle w:val="6"/>
          <w:rFonts w:hint="eastAsia" w:ascii="仿宋" w:hAnsi="仿宋" w:eastAsia="仿宋" w:cs="仿宋"/>
          <w:b/>
          <w:bCs/>
          <w:kern w:val="0"/>
          <w:sz w:val="28"/>
          <w:szCs w:val="28"/>
          <w:lang w:val="en-US" w:eastAsia="zh-CN"/>
        </w:rPr>
        <w:t>推荐品牌：安踏、李宁、迪卡侬、鸿星尔克、361°</w:t>
      </w:r>
    </w:p>
    <w:p w14:paraId="578C2507">
      <w:pPr>
        <w:pStyle w:val="5"/>
        <w:keepNext w:val="0"/>
        <w:keepLines w:val="0"/>
        <w:pageBreakBefore w:val="0"/>
        <w:widowControl/>
        <w:tabs>
          <w:tab w:val="left" w:pos="0"/>
        </w:tabs>
        <w:kinsoku/>
        <w:wordWrap/>
        <w:overflowPunct/>
        <w:topLinePunct w:val="0"/>
        <w:autoSpaceDE/>
        <w:autoSpaceDN/>
        <w:bidi w:val="0"/>
        <w:adjustRightInd/>
        <w:snapToGrid/>
        <w:spacing w:before="313" w:beforeLines="100" w:line="360" w:lineRule="auto"/>
        <w:ind w:firstLine="562" w:firstLineChars="200"/>
        <w:jc w:val="left"/>
        <w:textAlignment w:val="auto"/>
        <w:outlineLvl w:val="2"/>
        <w:rPr>
          <w:rStyle w:val="6"/>
          <w:rFonts w:hint="eastAsia" w:ascii="仿宋" w:hAnsi="仿宋" w:eastAsia="仿宋" w:cs="仿宋"/>
          <w:b/>
          <w:bCs/>
          <w:kern w:val="0"/>
          <w:sz w:val="28"/>
          <w:szCs w:val="28"/>
          <w:lang w:val="en-US" w:eastAsia="zh-CN"/>
        </w:rPr>
      </w:pPr>
      <w:r>
        <w:rPr>
          <w:rStyle w:val="6"/>
          <w:rFonts w:hint="eastAsia" w:ascii="仿宋" w:hAnsi="仿宋" w:eastAsia="仿宋" w:cs="仿宋"/>
          <w:b/>
          <w:bCs/>
          <w:kern w:val="0"/>
          <w:sz w:val="28"/>
          <w:szCs w:val="28"/>
          <w:lang w:val="en-US" w:eastAsia="zh-CN"/>
        </w:rPr>
        <w:t>2.具体技术参数要求</w:t>
      </w:r>
    </w:p>
    <w:tbl>
      <w:tblPr>
        <w:tblStyle w:val="3"/>
        <w:tblW w:w="8548" w:type="dxa"/>
        <w:jc w:val="center"/>
        <w:tblLayout w:type="autofit"/>
        <w:tblCellMar>
          <w:top w:w="0" w:type="dxa"/>
          <w:left w:w="108" w:type="dxa"/>
          <w:bottom w:w="0" w:type="dxa"/>
          <w:right w:w="108" w:type="dxa"/>
        </w:tblCellMar>
      </w:tblPr>
      <w:tblGrid>
        <w:gridCol w:w="774"/>
        <w:gridCol w:w="1682"/>
        <w:gridCol w:w="4814"/>
        <w:gridCol w:w="700"/>
        <w:gridCol w:w="578"/>
      </w:tblGrid>
      <w:tr w14:paraId="71DD5FC6">
        <w:trPr>
          <w:jc w:val="center"/>
        </w:trPr>
        <w:tc>
          <w:tcPr>
            <w:tcW w:w="774" w:type="dxa"/>
            <w:tcBorders>
              <w:top w:val="single" w:color="000000" w:sz="4" w:space="0"/>
              <w:left w:val="single" w:color="000000" w:sz="4" w:space="0"/>
              <w:bottom w:val="single" w:color="000000" w:sz="4" w:space="0"/>
              <w:right w:val="single" w:color="000000" w:sz="4" w:space="0"/>
            </w:tcBorders>
            <w:shd w:val="clear" w:color="auto" w:fill="F2F2F2"/>
            <w:noWrap w:val="0"/>
            <w:vAlign w:val="center"/>
          </w:tcPr>
          <w:p w14:paraId="79341008">
            <w:pPr>
              <w:spacing w:line="240" w:lineRule="auto"/>
              <w:ind w:firstLine="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序号</w:t>
            </w:r>
          </w:p>
        </w:tc>
        <w:tc>
          <w:tcPr>
            <w:tcW w:w="1682" w:type="dxa"/>
            <w:tcBorders>
              <w:top w:val="single" w:color="000000" w:sz="4" w:space="0"/>
              <w:left w:val="nil"/>
              <w:bottom w:val="single" w:color="000000" w:sz="4" w:space="0"/>
              <w:right w:val="single" w:color="000000" w:sz="4" w:space="0"/>
            </w:tcBorders>
            <w:shd w:val="clear" w:color="auto" w:fill="F2F2F2"/>
            <w:noWrap w:val="0"/>
            <w:vAlign w:val="center"/>
          </w:tcPr>
          <w:p w14:paraId="395EDA21">
            <w:pPr>
              <w:spacing w:line="240" w:lineRule="auto"/>
              <w:ind w:firstLine="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设备名称</w:t>
            </w:r>
          </w:p>
        </w:tc>
        <w:tc>
          <w:tcPr>
            <w:tcW w:w="0" w:type="auto"/>
            <w:tcBorders>
              <w:top w:val="single" w:color="000000" w:sz="4" w:space="0"/>
              <w:left w:val="nil"/>
              <w:bottom w:val="single" w:color="000000" w:sz="4" w:space="0"/>
              <w:right w:val="single" w:color="000000" w:sz="4" w:space="0"/>
            </w:tcBorders>
            <w:shd w:val="clear" w:color="auto" w:fill="F2F2F2"/>
            <w:noWrap w:val="0"/>
            <w:vAlign w:val="center"/>
          </w:tcPr>
          <w:p w14:paraId="1BC29101">
            <w:pPr>
              <w:spacing w:line="240" w:lineRule="auto"/>
              <w:ind w:firstLine="0"/>
              <w:jc w:val="center"/>
              <w:rPr>
                <w:rFonts w:hint="eastAsia" w:ascii="仿宋" w:hAnsi="仿宋" w:eastAsia="仿宋" w:cs="仿宋"/>
                <w:b w:val="0"/>
                <w:bCs w:val="0"/>
                <w:sz w:val="28"/>
                <w:szCs w:val="28"/>
              </w:rPr>
            </w:pPr>
            <w:r>
              <w:rPr>
                <w:rFonts w:hint="eastAsia" w:ascii="仿宋" w:hAnsi="仿宋" w:eastAsia="仿宋" w:cs="仿宋"/>
                <w:b w:val="0"/>
                <w:bCs w:val="0"/>
                <w:sz w:val="28"/>
                <w:szCs w:val="28"/>
                <w:lang w:val="en-US" w:eastAsia="zh-CN"/>
              </w:rPr>
              <w:t>技术参数</w:t>
            </w:r>
            <w:r>
              <w:rPr>
                <w:rFonts w:hint="eastAsia" w:ascii="仿宋" w:hAnsi="仿宋" w:eastAsia="仿宋" w:cs="仿宋"/>
                <w:b w:val="0"/>
                <w:bCs w:val="0"/>
                <w:sz w:val="28"/>
                <w:szCs w:val="28"/>
              </w:rPr>
              <w:t>要求</w:t>
            </w:r>
          </w:p>
        </w:tc>
        <w:tc>
          <w:tcPr>
            <w:tcW w:w="0" w:type="auto"/>
            <w:tcBorders>
              <w:top w:val="single" w:color="000000" w:sz="4" w:space="0"/>
              <w:left w:val="nil"/>
              <w:bottom w:val="single" w:color="000000" w:sz="4" w:space="0"/>
              <w:right w:val="single" w:color="000000" w:sz="4" w:space="0"/>
            </w:tcBorders>
            <w:shd w:val="clear" w:color="auto" w:fill="F2F2F2"/>
            <w:noWrap w:val="0"/>
            <w:vAlign w:val="center"/>
          </w:tcPr>
          <w:p w14:paraId="278FB7F4">
            <w:pPr>
              <w:spacing w:line="240" w:lineRule="auto"/>
              <w:ind w:firstLine="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数量</w:t>
            </w:r>
          </w:p>
        </w:tc>
        <w:tc>
          <w:tcPr>
            <w:tcW w:w="578" w:type="dxa"/>
            <w:tcBorders>
              <w:top w:val="single" w:color="000000" w:sz="4" w:space="0"/>
              <w:left w:val="nil"/>
              <w:bottom w:val="single" w:color="000000" w:sz="4" w:space="0"/>
              <w:right w:val="single" w:color="000000" w:sz="4" w:space="0"/>
            </w:tcBorders>
            <w:shd w:val="clear" w:color="auto" w:fill="F2F2F2"/>
            <w:noWrap w:val="0"/>
            <w:vAlign w:val="center"/>
          </w:tcPr>
          <w:p w14:paraId="14270318">
            <w:pPr>
              <w:spacing w:line="240" w:lineRule="auto"/>
              <w:ind w:firstLine="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单位</w:t>
            </w:r>
          </w:p>
        </w:tc>
      </w:tr>
      <w:tr w14:paraId="30FA4686">
        <w:tblPrEx>
          <w:tblCellMar>
            <w:top w:w="0" w:type="dxa"/>
            <w:left w:w="108" w:type="dxa"/>
            <w:bottom w:w="0" w:type="dxa"/>
            <w:right w:w="108" w:type="dxa"/>
          </w:tblCellMar>
        </w:tblPrEx>
        <w:trPr>
          <w:trHeight w:val="3292" w:hRule="atLeast"/>
          <w:jc w:val="center"/>
        </w:trPr>
        <w:tc>
          <w:tcPr>
            <w:tcW w:w="774" w:type="dxa"/>
            <w:tcBorders>
              <w:top w:val="nil"/>
              <w:left w:val="single" w:color="000000" w:sz="4" w:space="0"/>
              <w:bottom w:val="nil"/>
              <w:right w:val="single" w:color="000000" w:sz="4" w:space="0"/>
            </w:tcBorders>
            <w:noWrap w:val="0"/>
            <w:vAlign w:val="center"/>
          </w:tcPr>
          <w:p w14:paraId="66449385">
            <w:pPr>
              <w:spacing w:line="240" w:lineRule="auto"/>
              <w:ind w:firstLine="0"/>
              <w:jc w:val="center"/>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val="en-US" w:eastAsia="zh-CN"/>
              </w:rPr>
              <w:t>1</w:t>
            </w:r>
          </w:p>
        </w:tc>
        <w:tc>
          <w:tcPr>
            <w:tcW w:w="1682" w:type="dxa"/>
            <w:tcBorders>
              <w:top w:val="nil"/>
              <w:left w:val="nil"/>
              <w:bottom w:val="nil"/>
              <w:right w:val="single" w:color="000000" w:sz="4" w:space="0"/>
            </w:tcBorders>
            <w:noWrap w:val="0"/>
            <w:vAlign w:val="center"/>
          </w:tcPr>
          <w:p w14:paraId="1F284F10">
            <w:pPr>
              <w:spacing w:line="240" w:lineRule="auto"/>
              <w:ind w:firstLine="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运动套装</w:t>
            </w:r>
          </w:p>
        </w:tc>
        <w:tc>
          <w:tcPr>
            <w:tcW w:w="0" w:type="auto"/>
            <w:tcBorders>
              <w:top w:val="nil"/>
              <w:left w:val="nil"/>
              <w:bottom w:val="nil"/>
              <w:right w:val="single" w:color="000000" w:sz="4" w:space="0"/>
            </w:tcBorders>
            <w:noWrap w:val="0"/>
            <w:vAlign w:val="center"/>
          </w:tcPr>
          <w:p w14:paraId="0EE69D09">
            <w:pPr>
              <w:spacing w:line="240" w:lineRule="auto"/>
              <w:ind w:firstLine="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1.短袖上衣（无领与有领）+长裤：裤子可一样，上衣两种款式：无领与有领</w:t>
            </w:r>
          </w:p>
          <w:p w14:paraId="61F06289">
            <w:pPr>
              <w:spacing w:line="240" w:lineRule="auto"/>
              <w:ind w:firstLine="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2.吸汗、排汗、速干、透气</w:t>
            </w:r>
          </w:p>
          <w:p w14:paraId="52F01F5C">
            <w:pPr>
              <w:spacing w:line="240" w:lineRule="auto"/>
              <w:ind w:firstLine="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3.常规型、薄款、套头</w:t>
            </w:r>
          </w:p>
          <w:p w14:paraId="3B6DBE72">
            <w:pPr>
              <w:spacing w:line="240" w:lineRule="auto"/>
              <w:ind w:firstLine="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4.运动项目：户外运动</w:t>
            </w:r>
          </w:p>
          <w:p w14:paraId="24C603FE">
            <w:pPr>
              <w:spacing w:line="240" w:lineRule="auto"/>
              <w:ind w:firstLine="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5.松紧腰头</w:t>
            </w:r>
          </w:p>
          <w:p w14:paraId="3B4FAA6D">
            <w:pPr>
              <w:spacing w:line="240" w:lineRule="auto"/>
              <w:ind w:firstLine="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6.男女款式，左上角印医院logo</w:t>
            </w:r>
          </w:p>
          <w:p w14:paraId="57627C93">
            <w:pPr>
              <w:spacing w:line="240" w:lineRule="auto"/>
              <w:ind w:firstLine="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7.元素：青春活力</w:t>
            </w:r>
          </w:p>
          <w:p w14:paraId="57A15CD4">
            <w:pPr>
              <w:spacing w:line="240" w:lineRule="auto"/>
              <w:ind w:firstLine="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8.颜色：推荐莫迪兰色系</w:t>
            </w:r>
          </w:p>
        </w:tc>
        <w:tc>
          <w:tcPr>
            <w:tcW w:w="0" w:type="auto"/>
            <w:tcBorders>
              <w:top w:val="nil"/>
              <w:left w:val="nil"/>
              <w:bottom w:val="nil"/>
              <w:right w:val="single" w:color="000000" w:sz="4" w:space="0"/>
            </w:tcBorders>
            <w:noWrap w:val="0"/>
            <w:vAlign w:val="center"/>
          </w:tcPr>
          <w:p w14:paraId="7713BFC1">
            <w:pPr>
              <w:spacing w:line="240" w:lineRule="auto"/>
              <w:ind w:firstLine="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830</w:t>
            </w:r>
          </w:p>
        </w:tc>
        <w:tc>
          <w:tcPr>
            <w:tcW w:w="578" w:type="dxa"/>
            <w:tcBorders>
              <w:top w:val="nil"/>
              <w:left w:val="nil"/>
              <w:bottom w:val="nil"/>
              <w:right w:val="single" w:color="000000" w:sz="4" w:space="0"/>
            </w:tcBorders>
            <w:noWrap w:val="0"/>
            <w:vAlign w:val="center"/>
          </w:tcPr>
          <w:p w14:paraId="1E64F707">
            <w:pPr>
              <w:spacing w:line="240" w:lineRule="auto"/>
              <w:ind w:firstLine="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套</w:t>
            </w:r>
          </w:p>
        </w:tc>
      </w:tr>
    </w:tbl>
    <w:p w14:paraId="55540C8F">
      <w:pPr>
        <w:pStyle w:val="5"/>
        <w:keepNext w:val="0"/>
        <w:keepLines w:val="0"/>
        <w:pageBreakBefore w:val="0"/>
        <w:widowControl/>
        <w:numPr>
          <w:ilvl w:val="0"/>
          <w:numId w:val="1"/>
        </w:numPr>
        <w:tabs>
          <w:tab w:val="left" w:pos="0"/>
          <w:tab w:val="clear" w:pos="312"/>
        </w:tabs>
        <w:kinsoku/>
        <w:wordWrap/>
        <w:overflowPunct/>
        <w:topLinePunct w:val="0"/>
        <w:autoSpaceDE/>
        <w:autoSpaceDN/>
        <w:bidi w:val="0"/>
        <w:adjustRightInd/>
        <w:snapToGrid/>
        <w:spacing w:before="313" w:beforeLines="100" w:line="360" w:lineRule="auto"/>
        <w:ind w:left="0" w:leftChars="0" w:firstLine="0" w:firstLineChars="0"/>
        <w:jc w:val="left"/>
        <w:textAlignment w:val="auto"/>
        <w:outlineLvl w:val="2"/>
        <w:rPr>
          <w:rStyle w:val="6"/>
          <w:rFonts w:hint="eastAsia" w:ascii="仿宋" w:hAnsi="仿宋" w:eastAsia="仿宋" w:cs="仿宋"/>
          <w:b/>
          <w:bCs/>
          <w:kern w:val="0"/>
          <w:sz w:val="28"/>
          <w:szCs w:val="28"/>
          <w:lang w:val="en-US" w:eastAsia="zh-CN"/>
        </w:rPr>
      </w:pPr>
      <w:r>
        <w:rPr>
          <w:rStyle w:val="6"/>
          <w:rFonts w:hint="eastAsia" w:ascii="仿宋" w:hAnsi="仿宋" w:eastAsia="仿宋" w:cs="仿宋"/>
          <w:b/>
          <w:bCs/>
          <w:kern w:val="0"/>
          <w:sz w:val="28"/>
          <w:szCs w:val="28"/>
          <w:lang w:val="en-US" w:eastAsia="zh-CN"/>
        </w:rPr>
        <w:t>医院logo</w:t>
      </w:r>
    </w:p>
    <w:p w14:paraId="07A39F62">
      <w:pPr>
        <w:pStyle w:val="5"/>
        <w:keepNext w:val="0"/>
        <w:keepLines w:val="0"/>
        <w:pageBreakBefore w:val="0"/>
        <w:widowControl/>
        <w:numPr>
          <w:numId w:val="0"/>
        </w:numPr>
        <w:tabs>
          <w:tab w:val="left" w:pos="0"/>
        </w:tabs>
        <w:kinsoku/>
        <w:wordWrap/>
        <w:overflowPunct/>
        <w:topLinePunct w:val="0"/>
        <w:autoSpaceDE/>
        <w:autoSpaceDN/>
        <w:bidi w:val="0"/>
        <w:adjustRightInd/>
        <w:snapToGrid/>
        <w:spacing w:before="313" w:beforeLines="100" w:line="360" w:lineRule="auto"/>
        <w:ind w:leftChars="0"/>
        <w:jc w:val="left"/>
        <w:textAlignment w:val="auto"/>
        <w:outlineLvl w:val="2"/>
        <w:rPr>
          <w:rStyle w:val="6"/>
          <w:rFonts w:hint="default" w:ascii="仿宋" w:hAnsi="仿宋" w:eastAsia="仿宋" w:cs="仿宋"/>
          <w:b w:val="0"/>
          <w:bCs w:val="0"/>
          <w:kern w:val="0"/>
          <w:sz w:val="28"/>
          <w:szCs w:val="28"/>
          <w:lang w:val="en-US" w:eastAsia="zh-CN"/>
        </w:rPr>
      </w:pPr>
      <w:r>
        <w:rPr>
          <w:rFonts w:ascii="宋体" w:hAnsi="宋体" w:eastAsia="宋体" w:cs="宋体"/>
          <w:sz w:val="24"/>
          <w:szCs w:val="24"/>
        </w:rPr>
        <w:drawing>
          <wp:inline distT="0" distB="0" distL="114300" distR="114300">
            <wp:extent cx="2839085" cy="200914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2839085" cy="2009140"/>
                    </a:xfrm>
                    <a:prstGeom prst="rect">
                      <a:avLst/>
                    </a:prstGeom>
                    <a:noFill/>
                    <a:ln w="9525">
                      <a:noFill/>
                    </a:ln>
                  </pic:spPr>
                </pic:pic>
              </a:graphicData>
            </a:graphic>
          </wp:inline>
        </w:drawing>
      </w:r>
    </w:p>
    <w:p w14:paraId="35726D45">
      <w:pPr>
        <w:pStyle w:val="5"/>
        <w:keepNext w:val="0"/>
        <w:keepLines w:val="0"/>
        <w:pageBreakBefore w:val="0"/>
        <w:widowControl/>
        <w:numPr>
          <w:ilvl w:val="0"/>
          <w:numId w:val="0"/>
        </w:numPr>
        <w:tabs>
          <w:tab w:val="left" w:pos="0"/>
        </w:tabs>
        <w:kinsoku/>
        <w:wordWrap/>
        <w:overflowPunct/>
        <w:topLinePunct w:val="0"/>
        <w:autoSpaceDE/>
        <w:autoSpaceDN/>
        <w:bidi w:val="0"/>
        <w:adjustRightInd/>
        <w:snapToGrid/>
        <w:spacing w:before="313" w:beforeLines="100" w:line="360" w:lineRule="auto"/>
        <w:ind w:left="0" w:leftChars="0" w:firstLine="0" w:firstLineChars="0"/>
        <w:jc w:val="left"/>
        <w:textAlignment w:val="auto"/>
        <w:outlineLvl w:val="2"/>
        <w:rPr>
          <w:rStyle w:val="6"/>
          <w:rFonts w:hint="eastAsia" w:ascii="仿宋" w:hAnsi="仿宋" w:eastAsia="仿宋" w:cs="仿宋"/>
          <w:b w:val="0"/>
          <w:bCs w:val="0"/>
          <w:kern w:val="0"/>
          <w:sz w:val="28"/>
          <w:szCs w:val="28"/>
          <w:lang w:val="en-US" w:eastAsia="zh-CN"/>
        </w:rPr>
      </w:pPr>
      <w:r>
        <w:rPr>
          <w:rStyle w:val="6"/>
          <w:rFonts w:hint="eastAsia" w:ascii="仿宋" w:hAnsi="仿宋" w:eastAsia="仿宋" w:cs="仿宋"/>
          <w:b/>
          <w:bCs/>
          <w:kern w:val="0"/>
          <w:sz w:val="28"/>
          <w:szCs w:val="28"/>
          <w:lang w:val="en-US" w:eastAsia="zh-CN"/>
        </w:rPr>
        <w:t>2.产品材质要求</w:t>
      </w:r>
      <w:r>
        <w:rPr>
          <w:rStyle w:val="6"/>
          <w:rFonts w:hint="eastAsia" w:ascii="仿宋" w:hAnsi="仿宋" w:eastAsia="仿宋" w:cs="仿宋"/>
          <w:b w:val="0"/>
          <w:bCs w:val="0"/>
          <w:kern w:val="0"/>
          <w:sz w:val="28"/>
          <w:szCs w:val="28"/>
          <w:lang w:val="en-US" w:eastAsia="zh-CN"/>
        </w:rPr>
        <w:t>:选用的材料(包括但不限于面料、配饰、染料、整理剂等)均须符合安全、卫生、环保要求，均对人体无害。采购文件中所列各项技术要求仅为本项目的基木要求，若地方标准、行业标准、国家标准有更严格的规定，则按新规定和标准执行。</w:t>
      </w:r>
    </w:p>
    <w:p w14:paraId="20B0A9D5">
      <w:pPr>
        <w:pStyle w:val="5"/>
        <w:keepNext w:val="0"/>
        <w:keepLines w:val="0"/>
        <w:pageBreakBefore w:val="0"/>
        <w:widowControl/>
        <w:numPr>
          <w:numId w:val="0"/>
        </w:numPr>
        <w:tabs>
          <w:tab w:val="left" w:pos="0"/>
        </w:tabs>
        <w:kinsoku/>
        <w:wordWrap/>
        <w:overflowPunct/>
        <w:topLinePunct w:val="0"/>
        <w:autoSpaceDE/>
        <w:autoSpaceDN/>
        <w:bidi w:val="0"/>
        <w:adjustRightInd/>
        <w:snapToGrid/>
        <w:spacing w:before="313" w:beforeLines="100" w:line="360" w:lineRule="auto"/>
        <w:ind w:leftChars="0"/>
        <w:jc w:val="left"/>
        <w:textAlignment w:val="auto"/>
        <w:outlineLvl w:val="2"/>
        <w:rPr>
          <w:rStyle w:val="6"/>
          <w:rFonts w:hint="eastAsia" w:ascii="仿宋" w:hAnsi="仿宋" w:eastAsia="仿宋" w:cs="仿宋"/>
          <w:b w:val="0"/>
          <w:bCs w:val="0"/>
          <w:kern w:val="0"/>
          <w:sz w:val="28"/>
          <w:szCs w:val="28"/>
          <w:lang w:val="en-US" w:eastAsia="zh-CN"/>
        </w:rPr>
      </w:pPr>
      <w:r>
        <w:rPr>
          <w:rStyle w:val="6"/>
          <w:rFonts w:hint="eastAsia" w:ascii="仿宋" w:hAnsi="仿宋" w:eastAsia="仿宋" w:cs="仿宋"/>
          <w:b w:val="0"/>
          <w:bCs w:val="0"/>
          <w:kern w:val="0"/>
          <w:sz w:val="28"/>
          <w:szCs w:val="28"/>
          <w:lang w:val="en-US" w:eastAsia="zh-CN"/>
        </w:rPr>
        <w:t>（1）染料:采用医用环保印染，严禁使用有毒有害含致物化学染料。通过环保染料印染出甲方指定各种花色的面料，制作出符合国家标准《GB18401-2010国家纺织产品基本安全技术规范》、《GB/T22844-2009配套床上用品》的产品，可直接接触皮肤。</w:t>
      </w:r>
    </w:p>
    <w:p w14:paraId="4DC4EA3E">
      <w:pPr>
        <w:pStyle w:val="5"/>
        <w:keepNext w:val="0"/>
        <w:keepLines w:val="0"/>
        <w:pageBreakBefore w:val="0"/>
        <w:widowControl/>
        <w:tabs>
          <w:tab w:val="left" w:pos="0"/>
        </w:tabs>
        <w:kinsoku/>
        <w:wordWrap/>
        <w:overflowPunct/>
        <w:topLinePunct w:val="0"/>
        <w:autoSpaceDE/>
        <w:autoSpaceDN/>
        <w:bidi w:val="0"/>
        <w:adjustRightInd/>
        <w:snapToGrid/>
        <w:spacing w:before="313" w:beforeLines="100" w:line="360" w:lineRule="auto"/>
        <w:ind w:left="0" w:leftChars="0" w:firstLine="0" w:firstLineChars="0"/>
        <w:jc w:val="left"/>
        <w:textAlignment w:val="auto"/>
        <w:outlineLvl w:val="2"/>
        <w:rPr>
          <w:rStyle w:val="6"/>
          <w:rFonts w:hint="default" w:ascii="仿宋" w:hAnsi="仿宋" w:eastAsia="仿宋" w:cs="仿宋"/>
          <w:b w:val="0"/>
          <w:bCs w:val="0"/>
          <w:kern w:val="0"/>
          <w:sz w:val="28"/>
          <w:szCs w:val="28"/>
          <w:lang w:val="en-US" w:eastAsia="zh-CN"/>
        </w:rPr>
      </w:pPr>
      <w:r>
        <w:rPr>
          <w:rStyle w:val="6"/>
          <w:rFonts w:hint="eastAsia" w:ascii="仿宋" w:hAnsi="仿宋" w:eastAsia="仿宋" w:cs="仿宋"/>
          <w:b w:val="0"/>
          <w:bCs w:val="0"/>
          <w:kern w:val="0"/>
          <w:sz w:val="28"/>
          <w:szCs w:val="28"/>
          <w:lang w:val="en-US" w:eastAsia="zh-CN"/>
        </w:rPr>
        <w:t>（2）面料:防静电，不含致癌物、不褪色、不起球、不易缩水、不变形、抗皱、耐磨、耐洗、耐氯漂、能耐高温消毒，满足《医院医用织物洗涤消毒技术规范》中的洗涤规范要求，经多次洗涤色牢度符合国家要求，面料预加缩水尺寸。推荐：100%聚酯纤维、涤纶混纺、锦纶等速干排汗抗菌防臭面料。</w:t>
      </w:r>
    </w:p>
    <w:p w14:paraId="052A8767">
      <w:pPr>
        <w:pStyle w:val="5"/>
        <w:keepNext w:val="0"/>
        <w:keepLines w:val="0"/>
        <w:pageBreakBefore w:val="0"/>
        <w:widowControl/>
        <w:tabs>
          <w:tab w:val="left" w:pos="0"/>
        </w:tabs>
        <w:kinsoku/>
        <w:wordWrap/>
        <w:overflowPunct/>
        <w:topLinePunct w:val="0"/>
        <w:autoSpaceDE/>
        <w:autoSpaceDN/>
        <w:bidi w:val="0"/>
        <w:adjustRightInd/>
        <w:snapToGrid/>
        <w:spacing w:before="313" w:beforeLines="100" w:line="360" w:lineRule="auto"/>
        <w:ind w:left="0" w:leftChars="0" w:firstLine="0" w:firstLineChars="0"/>
        <w:jc w:val="left"/>
        <w:textAlignment w:val="auto"/>
        <w:outlineLvl w:val="2"/>
        <w:rPr>
          <w:rStyle w:val="6"/>
          <w:rFonts w:hint="eastAsia" w:ascii="仿宋" w:hAnsi="仿宋" w:eastAsia="仿宋" w:cs="仿宋"/>
          <w:b w:val="0"/>
          <w:bCs w:val="0"/>
          <w:kern w:val="0"/>
          <w:sz w:val="28"/>
          <w:szCs w:val="28"/>
          <w:lang w:val="en-US" w:eastAsia="zh-CN"/>
        </w:rPr>
      </w:pPr>
      <w:r>
        <w:rPr>
          <w:rStyle w:val="6"/>
          <w:rFonts w:hint="eastAsia" w:ascii="仿宋" w:hAnsi="仿宋" w:eastAsia="仿宋" w:cs="仿宋"/>
          <w:b w:val="0"/>
          <w:bCs w:val="0"/>
          <w:kern w:val="0"/>
          <w:sz w:val="28"/>
          <w:szCs w:val="28"/>
          <w:lang w:val="en-US" w:eastAsia="zh-CN"/>
        </w:rPr>
        <w:t>（3）辅料:布料外的其他辅助用品(如纽扣、筋、拉链、绑绳等)，质感好、耐高温消毒、不易出现残旧、变色、生锈、剥落等变质情况，符合国家相关标准。橡1皮筋要求使用宽度 3cm 进口弹力性强的橡皮筋。</w:t>
      </w:r>
    </w:p>
    <w:p w14:paraId="7754A1AF">
      <w:pPr>
        <w:pStyle w:val="5"/>
        <w:keepNext w:val="0"/>
        <w:keepLines w:val="0"/>
        <w:pageBreakBefore w:val="0"/>
        <w:widowControl/>
        <w:tabs>
          <w:tab w:val="left" w:pos="0"/>
        </w:tabs>
        <w:kinsoku/>
        <w:wordWrap/>
        <w:overflowPunct/>
        <w:topLinePunct w:val="0"/>
        <w:autoSpaceDE/>
        <w:autoSpaceDN/>
        <w:bidi w:val="0"/>
        <w:adjustRightInd/>
        <w:snapToGrid/>
        <w:spacing w:before="313" w:beforeLines="100" w:line="360" w:lineRule="auto"/>
        <w:ind w:left="0" w:leftChars="0" w:firstLine="0" w:firstLineChars="0"/>
        <w:jc w:val="left"/>
        <w:textAlignment w:val="auto"/>
        <w:outlineLvl w:val="2"/>
        <w:rPr>
          <w:rStyle w:val="6"/>
          <w:rFonts w:hint="eastAsia" w:ascii="仿宋" w:hAnsi="仿宋" w:eastAsia="仿宋" w:cs="仿宋"/>
          <w:b w:val="0"/>
          <w:bCs w:val="0"/>
          <w:kern w:val="0"/>
          <w:sz w:val="28"/>
          <w:szCs w:val="28"/>
          <w:lang w:val="en-US" w:eastAsia="zh-CN"/>
        </w:rPr>
      </w:pPr>
      <w:r>
        <w:rPr>
          <w:rStyle w:val="6"/>
          <w:rFonts w:hint="eastAsia" w:ascii="仿宋" w:hAnsi="仿宋" w:eastAsia="仿宋" w:cs="仿宋"/>
          <w:b w:val="0"/>
          <w:bCs w:val="0"/>
          <w:kern w:val="0"/>
          <w:sz w:val="28"/>
          <w:szCs w:val="28"/>
          <w:lang w:val="en-US" w:eastAsia="zh-CN"/>
        </w:rPr>
        <w:t>（4）严禁使用医用纤维性废弃物、传染病疫区被污染物、使用过的殡葬纤维制品废旧纤维制品下脚或再加工纤维和经褪色漂白处理的工业废料。</w:t>
      </w:r>
    </w:p>
    <w:p w14:paraId="4FCD1321">
      <w:pPr>
        <w:pStyle w:val="5"/>
        <w:keepNext w:val="0"/>
        <w:keepLines w:val="0"/>
        <w:pageBreakBefore w:val="0"/>
        <w:widowControl/>
        <w:tabs>
          <w:tab w:val="left" w:pos="0"/>
        </w:tabs>
        <w:kinsoku/>
        <w:wordWrap/>
        <w:overflowPunct/>
        <w:topLinePunct w:val="0"/>
        <w:autoSpaceDE/>
        <w:autoSpaceDN/>
        <w:bidi w:val="0"/>
        <w:adjustRightInd/>
        <w:snapToGrid/>
        <w:spacing w:before="313" w:beforeLines="100" w:line="360" w:lineRule="auto"/>
        <w:ind w:left="0" w:leftChars="0" w:firstLine="0" w:firstLineChars="0"/>
        <w:jc w:val="left"/>
        <w:textAlignment w:val="auto"/>
        <w:outlineLvl w:val="2"/>
        <w:rPr>
          <w:rStyle w:val="6"/>
          <w:rFonts w:hint="eastAsia" w:ascii="仿宋" w:hAnsi="仿宋" w:eastAsia="仿宋" w:cs="仿宋"/>
          <w:b/>
          <w:bCs/>
          <w:kern w:val="0"/>
          <w:sz w:val="28"/>
          <w:szCs w:val="28"/>
          <w:lang w:val="en-US" w:eastAsia="zh-CN"/>
        </w:rPr>
      </w:pPr>
      <w:r>
        <w:rPr>
          <w:rStyle w:val="6"/>
          <w:rFonts w:hint="eastAsia" w:ascii="仿宋" w:hAnsi="仿宋" w:eastAsia="仿宋" w:cs="仿宋"/>
          <w:b/>
          <w:bCs/>
          <w:kern w:val="0"/>
          <w:sz w:val="28"/>
          <w:szCs w:val="28"/>
          <w:lang w:val="en-US" w:eastAsia="zh-CN"/>
        </w:rPr>
        <w:t>3.参考样式：</w:t>
      </w:r>
    </w:p>
    <w:p w14:paraId="2FBB1594">
      <w:pPr>
        <w:pStyle w:val="5"/>
        <w:keepNext w:val="0"/>
        <w:keepLines w:val="0"/>
        <w:pageBreakBefore w:val="0"/>
        <w:widowControl/>
        <w:tabs>
          <w:tab w:val="left" w:pos="0"/>
        </w:tabs>
        <w:kinsoku/>
        <w:wordWrap/>
        <w:overflowPunct/>
        <w:topLinePunct w:val="0"/>
        <w:autoSpaceDE/>
        <w:autoSpaceDN/>
        <w:bidi w:val="0"/>
        <w:adjustRightInd/>
        <w:snapToGrid/>
        <w:spacing w:before="313" w:beforeLines="100" w:line="360" w:lineRule="auto"/>
        <w:ind w:left="0" w:leftChars="0" w:firstLine="0" w:firstLineChars="0"/>
        <w:jc w:val="left"/>
        <w:textAlignment w:val="auto"/>
        <w:outlineLvl w:val="2"/>
        <w:rPr>
          <w:rStyle w:val="6"/>
          <w:rFonts w:hint="default" w:ascii="仿宋" w:hAnsi="仿宋" w:eastAsia="仿宋" w:cs="仿宋"/>
          <w:b/>
          <w:bCs/>
          <w:kern w:val="0"/>
          <w:sz w:val="28"/>
          <w:szCs w:val="28"/>
          <w:lang w:val="en-US" w:eastAsia="zh-CN"/>
        </w:rPr>
      </w:pPr>
      <w:r>
        <w:rPr>
          <w:rStyle w:val="6"/>
          <w:rFonts w:hint="eastAsia" w:ascii="仿宋" w:hAnsi="仿宋" w:eastAsia="仿宋" w:cs="仿宋"/>
          <w:b/>
          <w:bCs/>
          <w:kern w:val="0"/>
          <w:sz w:val="28"/>
          <w:szCs w:val="28"/>
          <w:lang w:val="en-US" w:eastAsia="zh-CN"/>
        </w:rPr>
        <w:t>女款：</w:t>
      </w:r>
    </w:p>
    <w:p w14:paraId="379231A9">
      <w:pPr>
        <w:pStyle w:val="5"/>
        <w:keepNext w:val="0"/>
        <w:keepLines w:val="0"/>
        <w:pageBreakBefore w:val="0"/>
        <w:widowControl/>
        <w:tabs>
          <w:tab w:val="left" w:pos="0"/>
        </w:tabs>
        <w:kinsoku/>
        <w:wordWrap/>
        <w:overflowPunct/>
        <w:topLinePunct w:val="0"/>
        <w:autoSpaceDE/>
        <w:autoSpaceDN/>
        <w:bidi w:val="0"/>
        <w:adjustRightInd/>
        <w:snapToGrid/>
        <w:spacing w:before="313" w:beforeLines="100" w:line="360" w:lineRule="auto"/>
        <w:ind w:left="0" w:leftChars="0" w:firstLine="0" w:firstLineChars="0"/>
        <w:jc w:val="left"/>
        <w:textAlignment w:val="auto"/>
        <w:outlineLvl w:val="2"/>
      </w:pPr>
      <w:r>
        <w:rPr>
          <w:rStyle w:val="6"/>
          <w:rFonts w:hint="eastAsia" w:ascii="仿宋" w:hAnsi="仿宋" w:eastAsia="仿宋" w:cs="仿宋"/>
          <w:b/>
          <w:bCs/>
          <w:kern w:val="0"/>
          <w:sz w:val="28"/>
          <w:szCs w:val="28"/>
          <w:lang w:val="en-US" w:eastAsia="zh-CN"/>
        </w:rPr>
        <w:drawing>
          <wp:inline distT="0" distB="0" distL="114300" distR="114300">
            <wp:extent cx="2259330" cy="3179445"/>
            <wp:effectExtent l="0" t="0" r="7620" b="1905"/>
            <wp:docPr id="1" name="图片 1" descr="174478980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44789808364"/>
                    <pic:cNvPicPr>
                      <a:picLocks noChangeAspect="1"/>
                    </pic:cNvPicPr>
                  </pic:nvPicPr>
                  <pic:blipFill>
                    <a:blip r:embed="rId5"/>
                    <a:stretch>
                      <a:fillRect/>
                    </a:stretch>
                  </pic:blipFill>
                  <pic:spPr>
                    <a:xfrm>
                      <a:off x="0" y="0"/>
                      <a:ext cx="2259330" cy="3179445"/>
                    </a:xfrm>
                    <a:prstGeom prst="rect">
                      <a:avLst/>
                    </a:prstGeom>
                  </pic:spPr>
                </pic:pic>
              </a:graphicData>
            </a:graphic>
          </wp:inline>
        </w:drawing>
      </w:r>
      <w:r>
        <w:drawing>
          <wp:inline distT="0" distB="0" distL="114300" distR="114300">
            <wp:extent cx="2251075" cy="3176905"/>
            <wp:effectExtent l="0" t="0" r="15875" b="44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l="21958" t="10231" r="16121"/>
                    <a:stretch>
                      <a:fillRect/>
                    </a:stretch>
                  </pic:blipFill>
                  <pic:spPr>
                    <a:xfrm>
                      <a:off x="0" y="0"/>
                      <a:ext cx="2251075" cy="3176905"/>
                    </a:xfrm>
                    <a:prstGeom prst="rect">
                      <a:avLst/>
                    </a:prstGeom>
                    <a:noFill/>
                    <a:ln>
                      <a:noFill/>
                    </a:ln>
                  </pic:spPr>
                </pic:pic>
              </a:graphicData>
            </a:graphic>
          </wp:inline>
        </w:drawing>
      </w:r>
    </w:p>
    <w:p w14:paraId="3BFCF432">
      <w:pPr>
        <w:pStyle w:val="5"/>
        <w:keepNext w:val="0"/>
        <w:keepLines w:val="0"/>
        <w:pageBreakBefore w:val="0"/>
        <w:widowControl/>
        <w:tabs>
          <w:tab w:val="left" w:pos="0"/>
        </w:tabs>
        <w:kinsoku/>
        <w:wordWrap/>
        <w:overflowPunct/>
        <w:topLinePunct w:val="0"/>
        <w:autoSpaceDE/>
        <w:autoSpaceDN/>
        <w:bidi w:val="0"/>
        <w:adjustRightInd/>
        <w:snapToGrid/>
        <w:spacing w:before="313" w:beforeLines="100" w:line="360" w:lineRule="auto"/>
        <w:ind w:left="0" w:leftChars="0" w:firstLine="0" w:firstLineChars="0"/>
        <w:jc w:val="left"/>
        <w:textAlignment w:val="auto"/>
        <w:outlineLvl w:val="2"/>
        <w:rPr>
          <w:rFonts w:hint="eastAsia"/>
          <w:lang w:val="en-US" w:eastAsia="zh-CN"/>
        </w:rPr>
      </w:pPr>
      <w:r>
        <w:rPr>
          <w:rFonts w:hint="eastAsia" w:ascii="宋体" w:hAnsi="宋体" w:eastAsia="宋体" w:cs="宋体"/>
          <w:sz w:val="44"/>
          <w:szCs w:val="44"/>
          <w:lang w:eastAsia="zh-CN"/>
        </w:rPr>
        <w:drawing>
          <wp:inline distT="0" distB="0" distL="114300" distR="114300">
            <wp:extent cx="2202180" cy="2150745"/>
            <wp:effectExtent l="0" t="0" r="7620" b="1905"/>
            <wp:docPr id="3" name="图片 1" descr="54fdf5856833a6b1bca7638c5bcf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4fdf5856833a6b1bca7638c5bcff03"/>
                    <pic:cNvPicPr>
                      <a:picLocks noChangeAspect="1"/>
                    </pic:cNvPicPr>
                  </pic:nvPicPr>
                  <pic:blipFill>
                    <a:blip r:embed="rId7"/>
                    <a:srcRect t="31378" b="25148"/>
                    <a:stretch>
                      <a:fillRect/>
                    </a:stretch>
                  </pic:blipFill>
                  <pic:spPr>
                    <a:xfrm>
                      <a:off x="0" y="0"/>
                      <a:ext cx="2202180" cy="2150745"/>
                    </a:xfrm>
                    <a:prstGeom prst="rect">
                      <a:avLst/>
                    </a:prstGeom>
                    <a:noFill/>
                    <a:ln>
                      <a:noFill/>
                    </a:ln>
                  </pic:spPr>
                </pic:pic>
              </a:graphicData>
            </a:graphic>
          </wp:inline>
        </w:drawing>
      </w:r>
    </w:p>
    <w:p w14:paraId="30AB483E">
      <w:pPr>
        <w:pStyle w:val="5"/>
        <w:keepNext w:val="0"/>
        <w:keepLines w:val="0"/>
        <w:pageBreakBefore w:val="0"/>
        <w:widowControl/>
        <w:tabs>
          <w:tab w:val="left" w:pos="0"/>
        </w:tabs>
        <w:kinsoku/>
        <w:wordWrap/>
        <w:overflowPunct/>
        <w:topLinePunct w:val="0"/>
        <w:autoSpaceDE/>
        <w:autoSpaceDN/>
        <w:bidi w:val="0"/>
        <w:adjustRightInd/>
        <w:snapToGrid/>
        <w:spacing w:before="313" w:beforeLines="100" w:line="360" w:lineRule="auto"/>
        <w:ind w:left="0" w:leftChars="0" w:firstLine="0" w:firstLineChars="0"/>
        <w:jc w:val="left"/>
        <w:textAlignment w:val="auto"/>
        <w:outlineLvl w:val="2"/>
        <w:rPr>
          <w:rStyle w:val="6"/>
          <w:rFonts w:hint="eastAsia" w:ascii="仿宋" w:hAnsi="仿宋" w:eastAsia="仿宋" w:cs="仿宋"/>
          <w:b/>
          <w:bCs/>
          <w:kern w:val="0"/>
          <w:sz w:val="28"/>
          <w:szCs w:val="28"/>
          <w:lang w:val="en-US" w:eastAsia="zh-CN"/>
        </w:rPr>
      </w:pPr>
      <w:r>
        <w:rPr>
          <w:rStyle w:val="6"/>
          <w:rFonts w:hint="eastAsia" w:ascii="仿宋" w:hAnsi="仿宋" w:eastAsia="仿宋" w:cs="仿宋"/>
          <w:b/>
          <w:bCs/>
          <w:kern w:val="0"/>
          <w:sz w:val="28"/>
          <w:szCs w:val="28"/>
          <w:lang w:val="en-US" w:eastAsia="zh-CN"/>
        </w:rPr>
        <w:t>男款：</w:t>
      </w:r>
    </w:p>
    <w:p w14:paraId="0553058D">
      <w:pPr>
        <w:pStyle w:val="5"/>
        <w:keepNext w:val="0"/>
        <w:keepLines w:val="0"/>
        <w:pageBreakBefore w:val="0"/>
        <w:widowControl/>
        <w:tabs>
          <w:tab w:val="left" w:pos="0"/>
        </w:tabs>
        <w:kinsoku/>
        <w:wordWrap/>
        <w:overflowPunct/>
        <w:topLinePunct w:val="0"/>
        <w:autoSpaceDE/>
        <w:autoSpaceDN/>
        <w:bidi w:val="0"/>
        <w:adjustRightInd/>
        <w:snapToGrid/>
        <w:spacing w:before="313" w:beforeLines="100" w:line="360" w:lineRule="auto"/>
        <w:ind w:left="0" w:leftChars="0" w:firstLine="0" w:firstLineChars="0"/>
        <w:jc w:val="left"/>
        <w:textAlignment w:val="auto"/>
        <w:outlineLvl w:val="2"/>
        <w:rPr>
          <w:rStyle w:val="6"/>
          <w:rFonts w:hint="default" w:ascii="仿宋" w:hAnsi="仿宋" w:eastAsia="仿宋" w:cs="仿宋"/>
          <w:b/>
          <w:bCs/>
          <w:kern w:val="0"/>
          <w:sz w:val="28"/>
          <w:szCs w:val="28"/>
          <w:lang w:val="en-US" w:eastAsia="zh-CN"/>
        </w:rPr>
      </w:pPr>
      <w:r>
        <w:drawing>
          <wp:inline distT="0" distB="0" distL="114300" distR="114300">
            <wp:extent cx="3682365" cy="4033520"/>
            <wp:effectExtent l="0" t="0" r="13335" b="50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3682365" cy="4033520"/>
                    </a:xfrm>
                    <a:prstGeom prst="rect">
                      <a:avLst/>
                    </a:prstGeom>
                    <a:noFill/>
                    <a:ln>
                      <a:noFill/>
                    </a:ln>
                  </pic:spPr>
                </pic:pic>
              </a:graphicData>
            </a:graphic>
          </wp:inline>
        </w:drawing>
      </w:r>
      <w:bookmarkStart w:id="3" w:name="_GoBack"/>
      <w:bookmarkEnd w:id="3"/>
    </w:p>
    <w:p w14:paraId="62AFEEF1">
      <w:pPr>
        <w:pStyle w:val="5"/>
        <w:keepNext w:val="0"/>
        <w:keepLines w:val="0"/>
        <w:pageBreakBefore w:val="0"/>
        <w:widowControl/>
        <w:numPr>
          <w:ilvl w:val="0"/>
          <w:numId w:val="2"/>
        </w:numPr>
        <w:tabs>
          <w:tab w:val="left" w:pos="0"/>
          <w:tab w:val="clear" w:pos="312"/>
        </w:tabs>
        <w:kinsoku/>
        <w:wordWrap/>
        <w:overflowPunct/>
        <w:topLinePunct w:val="0"/>
        <w:autoSpaceDE/>
        <w:autoSpaceDN/>
        <w:bidi w:val="0"/>
        <w:adjustRightInd/>
        <w:snapToGrid/>
        <w:spacing w:before="313" w:beforeLines="100" w:line="360" w:lineRule="auto"/>
        <w:ind w:firstLine="562" w:firstLineChars="200"/>
        <w:jc w:val="left"/>
        <w:textAlignment w:val="auto"/>
        <w:outlineLvl w:val="2"/>
        <w:rPr>
          <w:rStyle w:val="6"/>
          <w:rFonts w:hint="eastAsia" w:ascii="仿宋" w:hAnsi="仿宋" w:eastAsia="仿宋" w:cs="仿宋"/>
          <w:b/>
          <w:bCs/>
          <w:kern w:val="0"/>
          <w:sz w:val="28"/>
          <w:szCs w:val="28"/>
          <w:lang w:val="en-US" w:eastAsia="zh-CN"/>
        </w:rPr>
      </w:pPr>
      <w:r>
        <w:rPr>
          <w:rStyle w:val="6"/>
          <w:rFonts w:hint="eastAsia" w:ascii="仿宋" w:hAnsi="仿宋" w:eastAsia="仿宋" w:cs="仿宋"/>
          <w:b/>
          <w:bCs/>
          <w:kern w:val="0"/>
          <w:sz w:val="28"/>
          <w:szCs w:val="28"/>
          <w:lang w:val="en-US" w:eastAsia="zh-CN"/>
        </w:rPr>
        <w:t>其他技术要求</w:t>
      </w:r>
    </w:p>
    <w:p w14:paraId="3C5794FD">
      <w:pPr>
        <w:pStyle w:val="5"/>
        <w:keepNext w:val="0"/>
        <w:keepLines w:val="0"/>
        <w:pageBreakBefore w:val="0"/>
        <w:widowControl/>
        <w:numPr>
          <w:ilvl w:val="0"/>
          <w:numId w:val="3"/>
        </w:numPr>
        <w:tabs>
          <w:tab w:val="left" w:pos="0"/>
        </w:tabs>
        <w:kinsoku/>
        <w:wordWrap/>
        <w:overflowPunct/>
        <w:topLinePunct w:val="0"/>
        <w:autoSpaceDE/>
        <w:autoSpaceDN/>
        <w:bidi w:val="0"/>
        <w:adjustRightInd/>
        <w:snapToGrid/>
        <w:spacing w:before="313" w:beforeLines="100" w:line="360" w:lineRule="auto"/>
        <w:ind w:firstLine="560" w:firstLineChars="200"/>
        <w:jc w:val="left"/>
        <w:textAlignment w:val="auto"/>
        <w:outlineLvl w:val="2"/>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rPr>
        <w:t>产品为原制造商制造的全新合格产品，来源渠道合法；无侵权行为、表面无划损、无破损、无任何缺陷隐患及安全隐患、在中国境内可依常规安全合法使用，采购人随机抽查产品的出厂证明或产品合格证明。</w:t>
      </w:r>
    </w:p>
    <w:p w14:paraId="78912C1B">
      <w:pPr>
        <w:pStyle w:val="5"/>
        <w:keepNext w:val="0"/>
        <w:keepLines w:val="0"/>
        <w:pageBreakBefore w:val="0"/>
        <w:widowControl/>
        <w:numPr>
          <w:ilvl w:val="0"/>
          <w:numId w:val="0"/>
        </w:numPr>
        <w:tabs>
          <w:tab w:val="left" w:pos="0"/>
        </w:tabs>
        <w:kinsoku/>
        <w:wordWrap/>
        <w:overflowPunct/>
        <w:topLinePunct w:val="0"/>
        <w:autoSpaceDE/>
        <w:autoSpaceDN/>
        <w:bidi w:val="0"/>
        <w:adjustRightInd/>
        <w:snapToGrid/>
        <w:spacing w:before="313" w:beforeLines="100" w:line="360" w:lineRule="auto"/>
        <w:ind w:left="0" w:leftChars="0" w:firstLine="420" w:firstLineChars="150"/>
        <w:jc w:val="left"/>
        <w:textAlignment w:val="auto"/>
        <w:outlineLvl w:val="2"/>
        <w:rPr>
          <w:rFonts w:hint="eastAsia" w:ascii="仿宋" w:hAnsi="仿宋" w:eastAsia="仿宋" w:cs="仿宋"/>
          <w:b w:val="0"/>
          <w:bCs w:val="0"/>
          <w:color w:val="FF0000"/>
          <w:kern w:val="0"/>
          <w:sz w:val="28"/>
          <w:szCs w:val="28"/>
          <w:lang w:val="en-US" w:eastAsia="zh-CN"/>
        </w:rPr>
      </w:pPr>
      <w:r>
        <w:rPr>
          <w:rFonts w:hint="eastAsia" w:ascii="仿宋" w:hAnsi="仿宋" w:eastAsia="仿宋" w:cs="仿宋"/>
          <w:b w:val="0"/>
          <w:bCs w:val="0"/>
          <w:color w:val="000000"/>
          <w:kern w:val="0"/>
          <w:sz w:val="28"/>
          <w:szCs w:val="28"/>
          <w:lang w:val="en-US" w:eastAsia="zh-CN"/>
        </w:rPr>
        <w:t>2</w:t>
      </w:r>
      <w:r>
        <w:rPr>
          <w:rFonts w:hint="eastAsia" w:ascii="仿宋" w:hAnsi="仿宋" w:eastAsia="仿宋" w:cs="仿宋"/>
          <w:b w:val="0"/>
          <w:bCs w:val="0"/>
          <w:color w:val="000000"/>
          <w:kern w:val="0"/>
          <w:sz w:val="28"/>
          <w:szCs w:val="28"/>
        </w:rPr>
        <w:t>、产品质量</w:t>
      </w:r>
      <w:r>
        <w:rPr>
          <w:rFonts w:hint="eastAsia" w:ascii="仿宋" w:hAnsi="仿宋" w:eastAsia="仿宋" w:cs="仿宋"/>
          <w:b w:val="0"/>
          <w:bCs w:val="0"/>
          <w:color w:val="000000"/>
          <w:kern w:val="0"/>
          <w:sz w:val="28"/>
          <w:szCs w:val="28"/>
          <w:lang w:val="en-US" w:eastAsia="zh-CN"/>
        </w:rPr>
        <w:t>与能效</w:t>
      </w:r>
      <w:r>
        <w:rPr>
          <w:rFonts w:hint="eastAsia" w:ascii="仿宋" w:hAnsi="仿宋" w:eastAsia="仿宋" w:cs="仿宋"/>
          <w:b w:val="0"/>
          <w:bCs w:val="0"/>
          <w:color w:val="000000"/>
          <w:kern w:val="0"/>
          <w:sz w:val="28"/>
          <w:szCs w:val="28"/>
        </w:rPr>
        <w:t>必须符合相应的国家和行业产品质量标准，实行产品质量三包（包质量、包退、包换）。</w:t>
      </w:r>
    </w:p>
    <w:p w14:paraId="68CA06AC">
      <w:pPr>
        <w:ind w:left="0" w:leftChars="0" w:firstLine="490" w:firstLineChars="175"/>
        <w:rPr>
          <w:rFonts w:hint="eastAsia" w:ascii="仿宋" w:hAnsi="仿宋" w:eastAsia="仿宋" w:cs="仿宋"/>
          <w:b w:val="0"/>
          <w:bCs w:val="0"/>
          <w:color w:val="000000"/>
          <w:kern w:val="0"/>
          <w:sz w:val="28"/>
          <w:szCs w:val="28"/>
        </w:rPr>
      </w:pPr>
      <w:r>
        <w:rPr>
          <w:rFonts w:hint="eastAsia" w:ascii="仿宋" w:hAnsi="仿宋" w:eastAsia="仿宋" w:cs="仿宋"/>
          <w:b w:val="0"/>
          <w:bCs w:val="0"/>
          <w:color w:val="000000"/>
          <w:kern w:val="0"/>
          <w:sz w:val="28"/>
          <w:szCs w:val="28"/>
          <w:lang w:val="en-US" w:eastAsia="zh-CN"/>
        </w:rPr>
        <w:t>3</w:t>
      </w:r>
      <w:r>
        <w:rPr>
          <w:rFonts w:hint="eastAsia" w:ascii="仿宋" w:hAnsi="仿宋" w:eastAsia="仿宋" w:cs="仿宋"/>
          <w:b w:val="0"/>
          <w:bCs w:val="0"/>
          <w:color w:val="000000"/>
          <w:kern w:val="0"/>
          <w:sz w:val="28"/>
          <w:szCs w:val="28"/>
        </w:rPr>
        <w:t>、因生产厂家停产造成的缺货或断货，成交供应商无法供应的</w:t>
      </w:r>
      <w:r>
        <w:rPr>
          <w:rFonts w:hint="eastAsia" w:ascii="仿宋" w:hAnsi="仿宋" w:eastAsia="仿宋" w:cs="仿宋"/>
          <w:b w:val="0"/>
          <w:bCs w:val="0"/>
          <w:color w:val="000000"/>
          <w:kern w:val="0"/>
          <w:sz w:val="28"/>
          <w:szCs w:val="28"/>
          <w:lang w:val="en-US" w:eastAsia="zh-CN"/>
        </w:rPr>
        <w:t>产品</w:t>
      </w:r>
      <w:r>
        <w:rPr>
          <w:rFonts w:hint="eastAsia" w:ascii="仿宋" w:hAnsi="仿宋" w:eastAsia="仿宋" w:cs="仿宋"/>
          <w:b w:val="0"/>
          <w:bCs w:val="0"/>
          <w:color w:val="000000"/>
          <w:kern w:val="0"/>
          <w:sz w:val="28"/>
          <w:szCs w:val="28"/>
        </w:rPr>
        <w:t>，征得采购方同意后，可以用优于或等于同质量的</w:t>
      </w:r>
      <w:r>
        <w:rPr>
          <w:rFonts w:hint="eastAsia" w:ascii="仿宋" w:hAnsi="仿宋" w:eastAsia="仿宋" w:cs="仿宋"/>
          <w:b w:val="0"/>
          <w:bCs w:val="0"/>
          <w:color w:val="000000"/>
          <w:kern w:val="0"/>
          <w:sz w:val="28"/>
          <w:szCs w:val="28"/>
          <w:lang w:val="en-US" w:eastAsia="zh-CN"/>
        </w:rPr>
        <w:t>产品</w:t>
      </w:r>
      <w:r>
        <w:rPr>
          <w:rFonts w:hint="eastAsia" w:ascii="仿宋" w:hAnsi="仿宋" w:eastAsia="仿宋" w:cs="仿宋"/>
          <w:b w:val="0"/>
          <w:bCs w:val="0"/>
          <w:color w:val="000000"/>
          <w:kern w:val="0"/>
          <w:sz w:val="28"/>
          <w:szCs w:val="28"/>
        </w:rPr>
        <w:t>代替（提供生产厂家停产的证明材料及替代</w:t>
      </w:r>
      <w:r>
        <w:rPr>
          <w:rFonts w:hint="eastAsia" w:ascii="仿宋" w:hAnsi="仿宋" w:eastAsia="仿宋" w:cs="仿宋"/>
          <w:b w:val="0"/>
          <w:bCs w:val="0"/>
          <w:color w:val="000000"/>
          <w:kern w:val="0"/>
          <w:sz w:val="28"/>
          <w:szCs w:val="28"/>
          <w:lang w:val="en-US" w:eastAsia="zh-CN"/>
        </w:rPr>
        <w:t>产品</w:t>
      </w:r>
      <w:r>
        <w:rPr>
          <w:rFonts w:hint="eastAsia" w:ascii="仿宋" w:hAnsi="仿宋" w:eastAsia="仿宋" w:cs="仿宋"/>
          <w:b w:val="0"/>
          <w:bCs w:val="0"/>
          <w:color w:val="000000"/>
          <w:kern w:val="0"/>
          <w:sz w:val="28"/>
          <w:szCs w:val="28"/>
        </w:rPr>
        <w:t>质量等于或优于原</w:t>
      </w:r>
      <w:r>
        <w:rPr>
          <w:rFonts w:hint="eastAsia" w:ascii="仿宋" w:hAnsi="仿宋" w:eastAsia="仿宋" w:cs="仿宋"/>
          <w:b w:val="0"/>
          <w:bCs w:val="0"/>
          <w:color w:val="000000"/>
          <w:kern w:val="0"/>
          <w:sz w:val="28"/>
          <w:szCs w:val="28"/>
          <w:lang w:val="en-US" w:eastAsia="zh-CN"/>
        </w:rPr>
        <w:t>产品</w:t>
      </w:r>
      <w:r>
        <w:rPr>
          <w:rFonts w:hint="eastAsia" w:ascii="仿宋" w:hAnsi="仿宋" w:eastAsia="仿宋" w:cs="仿宋"/>
          <w:b w:val="0"/>
          <w:bCs w:val="0"/>
          <w:color w:val="000000"/>
          <w:kern w:val="0"/>
          <w:sz w:val="28"/>
          <w:szCs w:val="28"/>
        </w:rPr>
        <w:t>的依据），价格不变。</w:t>
      </w:r>
    </w:p>
    <w:p w14:paraId="32303AEA">
      <w:pPr>
        <w:spacing w:line="360" w:lineRule="auto"/>
        <w:jc w:val="center"/>
        <w:outlineLvl w:val="1"/>
        <w:rPr>
          <w:rFonts w:ascii="宋体" w:hAnsi="宋体"/>
          <w:b/>
          <w:sz w:val="28"/>
          <w:szCs w:val="28"/>
          <w:shd w:val="clear" w:color="auto" w:fill="FFFFFF"/>
        </w:rPr>
      </w:pPr>
      <w:r>
        <w:rPr>
          <w:rFonts w:hint="eastAsia" w:ascii="宋体" w:hAnsi="宋体"/>
          <w:b/>
          <w:sz w:val="28"/>
          <w:szCs w:val="28"/>
          <w:shd w:val="clear" w:color="auto" w:fill="FFFFFF"/>
          <w:lang w:val="en-US" w:eastAsia="zh-CN"/>
        </w:rPr>
        <w:t>三</w:t>
      </w:r>
      <w:r>
        <w:rPr>
          <w:rFonts w:hint="eastAsia" w:ascii="宋体" w:hAnsi="宋体"/>
          <w:b/>
          <w:sz w:val="28"/>
          <w:szCs w:val="28"/>
          <w:shd w:val="clear" w:color="auto" w:fill="FFFFFF"/>
        </w:rPr>
        <w:t>、采购项目</w:t>
      </w:r>
      <w:r>
        <w:rPr>
          <w:rFonts w:hint="eastAsia" w:ascii="宋体" w:hAnsi="宋体"/>
          <w:b/>
          <w:sz w:val="28"/>
          <w:szCs w:val="28"/>
          <w:shd w:val="clear" w:color="auto" w:fill="FFFFFF"/>
          <w:lang w:val="en-US" w:eastAsia="zh-CN"/>
        </w:rPr>
        <w:t>商务</w:t>
      </w:r>
      <w:r>
        <w:rPr>
          <w:rFonts w:hint="eastAsia" w:ascii="宋体" w:hAnsi="宋体"/>
          <w:b/>
          <w:sz w:val="28"/>
          <w:szCs w:val="28"/>
          <w:shd w:val="clear" w:color="auto" w:fill="FFFFFF"/>
        </w:rPr>
        <w:t>要求</w:t>
      </w:r>
    </w:p>
    <w:p w14:paraId="3A2D6C0E">
      <w:pPr>
        <w:spacing w:line="360" w:lineRule="auto"/>
        <w:rPr>
          <w:rFonts w:hint="eastAsia" w:ascii="宋体" w:hAnsi="宋体" w:eastAsia="宋体"/>
          <w:color w:val="000000"/>
          <w:sz w:val="24"/>
        </w:rPr>
      </w:pPr>
      <w:bookmarkStart w:id="1" w:name="_Toc14887559"/>
      <w:bookmarkStart w:id="2" w:name="_Toc14948624"/>
      <w:r>
        <w:rPr>
          <w:rFonts w:hint="eastAsia" w:ascii="宋体" w:hAnsi="宋体" w:eastAsia="宋体"/>
          <w:b/>
          <w:color w:val="000000"/>
          <w:sz w:val="24"/>
        </w:rPr>
        <w:t>（一）报价要求</w:t>
      </w:r>
      <w:r>
        <w:rPr>
          <w:rFonts w:hint="eastAsia" w:ascii="宋体" w:hAnsi="宋体" w:eastAsia="宋体"/>
          <w:color w:val="000000"/>
          <w:sz w:val="24"/>
        </w:rPr>
        <w:t>：</w:t>
      </w:r>
    </w:p>
    <w:p w14:paraId="7B9718AB">
      <w:pPr>
        <w:spacing w:line="360" w:lineRule="auto"/>
        <w:ind w:left="0" w:leftChars="0" w:firstLine="420" w:firstLineChars="15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1.报价中必须包含设备及零配件的购置和安装、运输、保险、装卸、培训辅导、质保期售后服务、全额含税发票、雇员费用、合同实施过程中的应预见或不可预见费用等。</w:t>
      </w:r>
    </w:p>
    <w:p w14:paraId="325F4C2F">
      <w:pPr>
        <w:spacing w:line="360" w:lineRule="auto"/>
        <w:ind w:left="0" w:leftChars="0" w:firstLine="420" w:firstLineChars="15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 xml:space="preserve"> 2.供应商报价不得超于项目预算价，否则视为无效报价。</w:t>
      </w:r>
    </w:p>
    <w:p w14:paraId="6E9A522D">
      <w:pPr>
        <w:pStyle w:val="7"/>
        <w:spacing w:before="0" w:after="0" w:line="360" w:lineRule="auto"/>
        <w:jc w:val="both"/>
        <w:rPr>
          <w:rFonts w:hint="eastAsia" w:ascii="宋体" w:hAnsi="宋体" w:eastAsia="宋体"/>
          <w:color w:val="000000"/>
        </w:rPr>
      </w:pPr>
      <w:r>
        <w:rPr>
          <w:rFonts w:hint="eastAsia" w:ascii="宋体" w:hAnsi="宋体" w:eastAsia="宋体"/>
          <w:b/>
          <w:color w:val="000000"/>
        </w:rPr>
        <w:t>（二）服务地点</w:t>
      </w:r>
      <w:r>
        <w:rPr>
          <w:rFonts w:hint="eastAsia" w:ascii="宋体" w:hAnsi="宋体" w:eastAsia="宋体"/>
          <w:b/>
          <w:bCs w:val="0"/>
          <w:color w:val="000000"/>
        </w:rPr>
        <w:t>：</w:t>
      </w:r>
      <w:r>
        <w:rPr>
          <w:rFonts w:hint="eastAsia" w:ascii="仿宋" w:hAnsi="仿宋" w:eastAsia="仿宋" w:cs="仿宋"/>
          <w:b w:val="0"/>
          <w:bCs w:val="0"/>
          <w:spacing w:val="0"/>
          <w:kern w:val="2"/>
          <w:sz w:val="28"/>
          <w:szCs w:val="28"/>
          <w:lang w:val="en-US" w:eastAsia="zh-CN" w:bidi="ar-SA"/>
        </w:rPr>
        <w:t>佛山市第二人民医院卫国路院区及绿岛湖院区。</w:t>
      </w:r>
    </w:p>
    <w:p w14:paraId="3EF032E6">
      <w:pPr>
        <w:pStyle w:val="7"/>
        <w:spacing w:before="0" w:after="0" w:line="360" w:lineRule="auto"/>
        <w:jc w:val="both"/>
        <w:rPr>
          <w:rFonts w:hint="default" w:ascii="宋体" w:hAnsi="宋体" w:eastAsia="宋体"/>
          <w:color w:val="000000"/>
          <w:lang w:val="en-US" w:eastAsia="zh-CN"/>
        </w:rPr>
      </w:pPr>
      <w:r>
        <w:rPr>
          <w:rFonts w:hint="eastAsia" w:ascii="宋体" w:hAnsi="宋体" w:eastAsia="宋体"/>
          <w:b/>
          <w:color w:val="000000"/>
          <w:lang w:eastAsia="zh-CN"/>
        </w:rPr>
        <w:t>（</w:t>
      </w:r>
      <w:r>
        <w:rPr>
          <w:rFonts w:hint="eastAsia" w:ascii="宋体" w:hAnsi="宋体" w:eastAsia="宋体"/>
          <w:b/>
          <w:color w:val="000000"/>
          <w:lang w:val="en-US" w:eastAsia="zh-CN"/>
        </w:rPr>
        <w:t>三</w:t>
      </w:r>
      <w:r>
        <w:rPr>
          <w:rFonts w:hint="eastAsia" w:ascii="宋体" w:hAnsi="宋体" w:eastAsia="宋体"/>
          <w:b/>
          <w:color w:val="000000"/>
          <w:lang w:eastAsia="zh-CN"/>
        </w:rPr>
        <w:t>）</w:t>
      </w:r>
      <w:r>
        <w:rPr>
          <w:rFonts w:hint="eastAsia" w:ascii="宋体" w:hAnsi="宋体" w:eastAsia="宋体"/>
          <w:b/>
          <w:color w:val="000000"/>
          <w:lang w:val="en-US" w:eastAsia="zh-CN"/>
        </w:rPr>
        <w:t>质保期：</w:t>
      </w:r>
      <w:r>
        <w:rPr>
          <w:rFonts w:hint="eastAsia" w:ascii="仿宋" w:hAnsi="仿宋" w:eastAsia="仿宋" w:cs="仿宋"/>
          <w:b w:val="0"/>
          <w:bCs w:val="0"/>
          <w:spacing w:val="0"/>
          <w:kern w:val="2"/>
          <w:sz w:val="28"/>
          <w:szCs w:val="28"/>
          <w:lang w:val="en-US" w:eastAsia="zh-CN" w:bidi="ar-SA"/>
        </w:rPr>
        <w:t>1年。</w:t>
      </w:r>
    </w:p>
    <w:p w14:paraId="529B21F4">
      <w:pPr>
        <w:spacing w:line="360" w:lineRule="auto"/>
        <w:rPr>
          <w:rFonts w:hint="eastAsia" w:ascii="宋体" w:hAnsi="宋体" w:eastAsia="宋体"/>
          <w:b/>
          <w:color w:val="000000"/>
          <w:sz w:val="24"/>
        </w:rPr>
      </w:pPr>
      <w:r>
        <w:rPr>
          <w:rFonts w:hint="eastAsia" w:ascii="宋体" w:hAnsi="宋体" w:eastAsia="宋体"/>
          <w:b/>
          <w:color w:val="000000"/>
          <w:sz w:val="24"/>
        </w:rPr>
        <w:t>（四）项目预算：</w:t>
      </w:r>
      <w:r>
        <w:rPr>
          <w:rFonts w:hint="eastAsia" w:ascii="宋体" w:hAnsi="宋体" w:eastAsia="宋体"/>
          <w:bCs/>
          <w:color w:val="000000"/>
          <w:spacing w:val="10"/>
          <w:sz w:val="24"/>
          <w:lang w:val="en-US" w:eastAsia="zh-CN"/>
        </w:rPr>
        <w:t>66400</w:t>
      </w:r>
      <w:r>
        <w:rPr>
          <w:rFonts w:hint="eastAsia" w:ascii="宋体" w:hAnsi="宋体" w:eastAsia="宋体"/>
          <w:bCs/>
          <w:color w:val="000000"/>
          <w:spacing w:val="10"/>
          <w:sz w:val="24"/>
        </w:rPr>
        <w:t>元。</w:t>
      </w:r>
    </w:p>
    <w:p w14:paraId="2472665C">
      <w:pPr>
        <w:spacing w:line="360" w:lineRule="auto"/>
        <w:rPr>
          <w:rFonts w:hint="eastAsia" w:ascii="宋体" w:hAnsi="宋体" w:eastAsia="宋体" w:cs="宋体"/>
        </w:rPr>
      </w:pPr>
      <w:r>
        <w:rPr>
          <w:rFonts w:hint="eastAsia" w:ascii="宋体" w:hAnsi="宋体" w:eastAsia="宋体"/>
          <w:b/>
          <w:color w:val="000000"/>
          <w:sz w:val="24"/>
        </w:rPr>
        <w:t>（五）付款方式：</w:t>
      </w:r>
    </w:p>
    <w:p w14:paraId="185F4A1B">
      <w:pPr>
        <w:pStyle w:val="7"/>
        <w:spacing w:before="0" w:after="0" w:line="360" w:lineRule="auto"/>
        <w:ind w:left="0" w:leftChars="0" w:firstLine="420" w:firstLineChars="150"/>
        <w:jc w:val="both"/>
        <w:rPr>
          <w:rFonts w:hint="eastAsia" w:ascii="仿宋" w:hAnsi="仿宋" w:eastAsia="仿宋" w:cs="仿宋"/>
          <w:b w:val="0"/>
          <w:bCs w:val="0"/>
          <w:spacing w:val="0"/>
          <w:kern w:val="2"/>
          <w:sz w:val="28"/>
          <w:szCs w:val="28"/>
          <w:lang w:val="en-US" w:eastAsia="zh-CN" w:bidi="ar-SA"/>
        </w:rPr>
      </w:pPr>
      <w:r>
        <w:rPr>
          <w:rFonts w:hint="eastAsia" w:ascii="仿宋" w:hAnsi="仿宋" w:eastAsia="仿宋" w:cs="仿宋"/>
          <w:b w:val="0"/>
          <w:bCs w:val="0"/>
          <w:spacing w:val="0"/>
          <w:kern w:val="2"/>
          <w:sz w:val="28"/>
          <w:szCs w:val="28"/>
          <w:lang w:val="en-US" w:eastAsia="zh-CN" w:bidi="ar-SA"/>
        </w:rPr>
        <w:t>1.服务期结束后，乙方交付商品给甲方且验收合格，甲方在收到乙方发票后30天内支付有关费用。</w:t>
      </w:r>
    </w:p>
    <w:p w14:paraId="40215E1F">
      <w:pPr>
        <w:pStyle w:val="7"/>
        <w:spacing w:before="0" w:after="0" w:line="360" w:lineRule="auto"/>
        <w:ind w:left="0" w:leftChars="0" w:firstLine="420" w:firstLineChars="150"/>
        <w:jc w:val="both"/>
        <w:rPr>
          <w:rFonts w:hint="eastAsia" w:ascii="仿宋" w:hAnsi="仿宋" w:eastAsia="仿宋" w:cs="仿宋"/>
          <w:b w:val="0"/>
          <w:bCs w:val="0"/>
          <w:spacing w:val="0"/>
          <w:kern w:val="2"/>
          <w:sz w:val="28"/>
          <w:szCs w:val="28"/>
          <w:lang w:val="en-US" w:eastAsia="zh-CN" w:bidi="ar-SA"/>
        </w:rPr>
      </w:pPr>
      <w:r>
        <w:rPr>
          <w:rFonts w:hint="eastAsia" w:ascii="仿宋" w:hAnsi="仿宋" w:eastAsia="仿宋" w:cs="仿宋"/>
          <w:b w:val="0"/>
          <w:bCs w:val="0"/>
          <w:spacing w:val="0"/>
          <w:kern w:val="2"/>
          <w:sz w:val="28"/>
          <w:szCs w:val="28"/>
          <w:lang w:val="en-US" w:eastAsia="zh-CN" w:bidi="ar-SA"/>
        </w:rPr>
        <w:t>2.收款方、出具发票方、合同乙方均必须与中标（成交）供应商名称一致。</w:t>
      </w:r>
    </w:p>
    <w:p w14:paraId="4A29A5F6">
      <w:pPr>
        <w:spacing w:line="360" w:lineRule="auto"/>
        <w:rPr>
          <w:rFonts w:hint="eastAsia" w:ascii="宋体" w:hAnsi="宋体" w:eastAsia="宋体"/>
          <w:b/>
          <w:color w:val="000000"/>
          <w:sz w:val="24"/>
        </w:rPr>
      </w:pPr>
      <w:r>
        <w:rPr>
          <w:rFonts w:hint="eastAsia" w:ascii="宋体" w:hAnsi="宋体" w:eastAsia="宋体"/>
          <w:b/>
          <w:color w:val="000000"/>
          <w:sz w:val="24"/>
        </w:rPr>
        <w:t>（六）其他要求：</w:t>
      </w:r>
    </w:p>
    <w:p w14:paraId="1E85D4F8">
      <w:pPr>
        <w:spacing w:line="360" w:lineRule="auto"/>
        <w:ind w:left="0" w:leftChars="0" w:firstLine="420" w:firstLineChars="150"/>
        <w:rPr>
          <w:rFonts w:hint="default"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项目合同签订后，成交供应商不能随意转包或分包给第三方，否则采购人有权单方面终止合同。</w:t>
      </w:r>
      <w:bookmarkEnd w:id="1"/>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B00B3B"/>
    <w:multiLevelType w:val="singleLevel"/>
    <w:tmpl w:val="A3B00B3B"/>
    <w:lvl w:ilvl="0" w:tentative="0">
      <w:start w:val="1"/>
      <w:numFmt w:val="decimal"/>
      <w:suff w:val="nothing"/>
      <w:lvlText w:val="%1、"/>
      <w:lvlJc w:val="left"/>
    </w:lvl>
  </w:abstractNum>
  <w:abstractNum w:abstractNumId="1">
    <w:nsid w:val="4E72880D"/>
    <w:multiLevelType w:val="singleLevel"/>
    <w:tmpl w:val="4E72880D"/>
    <w:lvl w:ilvl="0" w:tentative="0">
      <w:start w:val="3"/>
      <w:numFmt w:val="decimal"/>
      <w:lvlText w:val="%1."/>
      <w:lvlJc w:val="left"/>
      <w:pPr>
        <w:tabs>
          <w:tab w:val="left" w:pos="312"/>
        </w:tabs>
      </w:pPr>
    </w:lvl>
  </w:abstractNum>
  <w:abstractNum w:abstractNumId="2">
    <w:nsid w:val="52C689DF"/>
    <w:multiLevelType w:val="singleLevel"/>
    <w:tmpl w:val="52C689DF"/>
    <w:lvl w:ilvl="0" w:tentative="0">
      <w:start w:val="1"/>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AB4BDA"/>
    <w:rsid w:val="01067934"/>
    <w:rsid w:val="0A63101A"/>
    <w:rsid w:val="0A7D5943"/>
    <w:rsid w:val="0C1E2E71"/>
    <w:rsid w:val="18BB50CE"/>
    <w:rsid w:val="1C5E10CA"/>
    <w:rsid w:val="1F065DFC"/>
    <w:rsid w:val="27CF44C0"/>
    <w:rsid w:val="281A2F57"/>
    <w:rsid w:val="2EE820C6"/>
    <w:rsid w:val="34961F32"/>
    <w:rsid w:val="34D70C96"/>
    <w:rsid w:val="359D1189"/>
    <w:rsid w:val="39D86159"/>
    <w:rsid w:val="3B4A38B5"/>
    <w:rsid w:val="3CD157EA"/>
    <w:rsid w:val="467F1D0F"/>
    <w:rsid w:val="4A0230F9"/>
    <w:rsid w:val="4C5216C4"/>
    <w:rsid w:val="55DF1070"/>
    <w:rsid w:val="5EC83355"/>
    <w:rsid w:val="5EF521C2"/>
    <w:rsid w:val="621D4036"/>
    <w:rsid w:val="688C0519"/>
    <w:rsid w:val="692217A8"/>
    <w:rsid w:val="6AFF6156"/>
    <w:rsid w:val="6BB41430"/>
    <w:rsid w:val="6DE971D8"/>
    <w:rsid w:val="6F1502CF"/>
    <w:rsid w:val="702E7D8B"/>
    <w:rsid w:val="73DB72A3"/>
    <w:rsid w:val="77AB4BDA"/>
    <w:rsid w:val="77E81BBD"/>
    <w:rsid w:val="7CF04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ind w:firstLine="0"/>
      <w:outlineLvl w:val="0"/>
    </w:pPr>
    <w:rPr>
      <w:b/>
      <w:bCs/>
      <w:kern w:val="44"/>
      <w:sz w:val="44"/>
      <w:szCs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style>
  <w:style w:type="character" w:customStyle="1" w:styleId="6">
    <w:name w:val="NormalCharacter"/>
    <w:qFormat/>
    <w:uiPriority w:val="0"/>
    <w:rPr>
      <w:kern w:val="2"/>
      <w:sz w:val="21"/>
      <w:szCs w:val="24"/>
      <w:lang w:val="en-US" w:eastAsia="zh-CN" w:bidi="ar-SA"/>
    </w:rPr>
  </w:style>
  <w:style w:type="paragraph" w:customStyle="1" w:styleId="7">
    <w:name w:val="表格文字"/>
    <w:basedOn w:val="1"/>
    <w:qFormat/>
    <w:uiPriority w:val="0"/>
    <w:pPr>
      <w:spacing w:before="25" w:after="25"/>
      <w:jc w:val="left"/>
    </w:pPr>
    <w:rPr>
      <w:bCs/>
      <w:spacing w:val="10"/>
      <w:sz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983</Words>
  <Characters>1078</Characters>
  <Lines>0</Lines>
  <Paragraphs>0</Paragraphs>
  <TotalTime>32</TotalTime>
  <ScaleCrop>false</ScaleCrop>
  <LinksUpToDate>false</LinksUpToDate>
  <CharactersWithSpaces>1079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2024-07-09T00:14:00Z</dcterms:created>
  <dc:creator>keyuda</dc:creator>
  <cp:lastModifiedBy>慧清</cp:lastModifiedBy>
  <dcterms:modified xsi:type="dcterms:W3CDTF">2025-04-17T01:51:09Z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2477ADA983954A02BAD133F35DD83804_13</vt:lpwstr>
  </property>
  <property fmtid="{D5CDD505-2E9C-101B-9397-08002B2CF9AE}" pid="4" name="KSOTemplateDocerSaveRecord">
    <vt:lpwstr>eyJoZGlkIjoiYzM2MTQ0NWI1N2FkZjA1ZWNkMDczOGM3YmQwNmYxOTciLCJ1c2VySWQiOiIyMTc3MzA3NTkifQ==</vt:lpwstr>
  </property>
</Properties>
</file>