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A59E" w14:textId="77777777" w:rsidR="00EF6091" w:rsidRDefault="00000000">
      <w:pPr>
        <w:spacing w:line="360" w:lineRule="auto"/>
        <w:ind w:firstLineChars="200" w:firstLine="803"/>
        <w:jc w:val="center"/>
        <w:outlineLvl w:val="1"/>
        <w:rPr>
          <w:rFonts w:ascii="Futura Bk" w:eastAsia="Futura Bk" w:hAnsi="Futura Bk"/>
          <w:b/>
          <w:color w:val="000000"/>
          <w:sz w:val="40"/>
          <w:szCs w:val="40"/>
          <w:shd w:val="clear" w:color="auto" w:fill="FFFFFF"/>
        </w:rPr>
      </w:pPr>
      <w:bookmarkStart w:id="0" w:name="_Toc3306007"/>
      <w:bookmarkStart w:id="1" w:name="_Toc14948621"/>
      <w:bookmarkStart w:id="2" w:name="_Toc14887557"/>
      <w:bookmarkStart w:id="3" w:name="_Toc112942388"/>
      <w:bookmarkStart w:id="4" w:name="_Toc81275638"/>
      <w:bookmarkStart w:id="5" w:name="_Toc77993109"/>
      <w:bookmarkStart w:id="6" w:name="_Toc77990991"/>
      <w:bookmarkStart w:id="7" w:name="_Toc37670349"/>
      <w:bookmarkStart w:id="8" w:name="_Toc140291626"/>
      <w:bookmarkStart w:id="9" w:name="_Toc61428966"/>
      <w:bookmarkStart w:id="10" w:name="_Toc78097180"/>
      <w:r>
        <w:rPr>
          <w:rFonts w:ascii="Futura Bk" w:eastAsia="Futura Bk" w:hAnsi="Futura Bk" w:hint="eastAsia"/>
          <w:b/>
          <w:color w:val="000000"/>
          <w:sz w:val="40"/>
          <w:szCs w:val="40"/>
          <w:shd w:val="clear" w:color="auto" w:fill="FFFFFF"/>
        </w:rPr>
        <w:t>遴选医院知识产权专利代理机构</w:t>
      </w:r>
    </w:p>
    <w:p w14:paraId="617645BF" w14:textId="77777777" w:rsidR="00EF6091" w:rsidRDefault="00EF6091">
      <w:pPr>
        <w:spacing w:line="360" w:lineRule="auto"/>
        <w:ind w:firstLineChars="200" w:firstLine="643"/>
        <w:jc w:val="center"/>
        <w:outlineLvl w:val="1"/>
        <w:rPr>
          <w:rFonts w:ascii="Futura Bk" w:eastAsia="Futura Bk" w:hAnsi="Futura Bk"/>
          <w:b/>
          <w:color w:val="000000"/>
          <w:sz w:val="32"/>
          <w:szCs w:val="32"/>
          <w:shd w:val="clear" w:color="auto" w:fill="FFFFFF"/>
        </w:rPr>
      </w:pPr>
    </w:p>
    <w:p w14:paraId="7DF1A192" w14:textId="77777777" w:rsidR="00EF6091" w:rsidRDefault="00000000">
      <w:pPr>
        <w:spacing w:line="360" w:lineRule="auto"/>
        <w:ind w:firstLineChars="200" w:firstLine="643"/>
        <w:jc w:val="center"/>
        <w:outlineLvl w:val="1"/>
        <w:rPr>
          <w:rFonts w:ascii="Futura Bk" w:eastAsia="Futura Bk" w:hAnsi="Futura Bk"/>
          <w:b/>
          <w:color w:val="000000"/>
          <w:sz w:val="32"/>
          <w:szCs w:val="32"/>
          <w:shd w:val="clear" w:color="auto" w:fill="FFFFFF"/>
        </w:rPr>
      </w:pPr>
      <w:r>
        <w:rPr>
          <w:rFonts w:ascii="Futura Bk" w:eastAsia="Futura Bk" w:hAnsi="Futura Bk" w:hint="eastAsia"/>
          <w:b/>
          <w:color w:val="000000"/>
          <w:sz w:val="32"/>
          <w:szCs w:val="32"/>
          <w:shd w:val="clear" w:color="auto" w:fill="FFFFFF"/>
        </w:rPr>
        <w:t>一、采购项目供应商资格要求</w:t>
      </w:r>
      <w:bookmarkEnd w:id="0"/>
      <w:bookmarkEnd w:id="1"/>
      <w:bookmarkEnd w:id="2"/>
      <w:bookmarkEnd w:id="3"/>
    </w:p>
    <w:p w14:paraId="2E759C8B" w14:textId="77777777" w:rsidR="00EF6091" w:rsidRDefault="00000000">
      <w:pPr>
        <w:pStyle w:val="a4"/>
        <w:widowControl/>
        <w:numPr>
          <w:ilvl w:val="3"/>
          <w:numId w:val="1"/>
        </w:numPr>
        <w:tabs>
          <w:tab w:val="clear" w:pos="1680"/>
          <w:tab w:val="left" w:pos="432"/>
          <w:tab w:val="left" w:pos="567"/>
        </w:tabs>
        <w:spacing w:line="360" w:lineRule="auto"/>
        <w:ind w:left="0" w:firstLineChars="0" w:firstLine="540"/>
        <w:jc w:val="left"/>
        <w:rPr>
          <w:rFonts w:ascii="宋体" w:eastAsia="宋体" w:hAnsi="宋体" w:hint="eastAsia"/>
          <w:sz w:val="24"/>
        </w:rPr>
      </w:pPr>
      <w:bookmarkStart w:id="11" w:name="_Toc14887558"/>
      <w:bookmarkStart w:id="12" w:name="_Toc14948622"/>
      <w:bookmarkStart w:id="13" w:name="_Toc112942389"/>
      <w:bookmarkStart w:id="14" w:name="_Toc3306008"/>
      <w:bookmarkEnd w:id="4"/>
      <w:bookmarkEnd w:id="5"/>
      <w:bookmarkEnd w:id="6"/>
      <w:bookmarkEnd w:id="7"/>
      <w:bookmarkEnd w:id="8"/>
      <w:bookmarkEnd w:id="9"/>
      <w:bookmarkEnd w:id="10"/>
      <w:r>
        <w:rPr>
          <w:rFonts w:ascii="宋体" w:eastAsia="宋体" w:hAnsi="宋体" w:hint="eastAsia"/>
          <w:sz w:val="24"/>
        </w:rPr>
        <w:t>供应商须是国内合法注册的企业,能独立承担民事责任；</w:t>
      </w:r>
    </w:p>
    <w:p w14:paraId="7D480B59" w14:textId="77777777" w:rsidR="00EF6091" w:rsidRDefault="00000000">
      <w:pPr>
        <w:pStyle w:val="a4"/>
        <w:widowControl/>
        <w:numPr>
          <w:ilvl w:val="3"/>
          <w:numId w:val="1"/>
        </w:numPr>
        <w:tabs>
          <w:tab w:val="clear" w:pos="1680"/>
          <w:tab w:val="left" w:pos="432"/>
          <w:tab w:val="left" w:pos="567"/>
        </w:tabs>
        <w:spacing w:line="360" w:lineRule="auto"/>
        <w:ind w:left="0" w:firstLineChars="0" w:firstLine="540"/>
        <w:jc w:val="left"/>
        <w:rPr>
          <w:rFonts w:ascii="宋体" w:eastAsia="宋体" w:hAnsi="宋体" w:hint="eastAsia"/>
          <w:sz w:val="24"/>
        </w:rPr>
      </w:pPr>
      <w:r>
        <w:rPr>
          <w:rFonts w:ascii="宋体" w:eastAsia="宋体" w:hAnsi="宋体" w:hint="eastAsia"/>
          <w:sz w:val="24"/>
        </w:rPr>
        <w:t>供应商未被列入“信用中国”网站(</w:t>
      </w:r>
      <w:proofErr w:type="spellStart"/>
      <w:r>
        <w:rPr>
          <w:rFonts w:ascii="宋体" w:eastAsia="宋体" w:hAnsi="宋体" w:hint="eastAsia"/>
          <w:sz w:val="24"/>
        </w:rPr>
        <w:t>www.creditchina.gov.cn</w:t>
      </w:r>
      <w:proofErr w:type="spellEnd"/>
      <w:r>
        <w:rPr>
          <w:rFonts w:ascii="宋体" w:eastAsia="宋体" w:hAnsi="宋体" w:hint="eastAsia"/>
          <w:sz w:val="24"/>
        </w:rPr>
        <w:t>)的“失信被执行人或重大税收违法案件当事人名单或政府采购严重违法失信行为”记录名单；未处于中国政府采购网(</w:t>
      </w:r>
      <w:proofErr w:type="spellStart"/>
      <w:r>
        <w:rPr>
          <w:rFonts w:ascii="宋体" w:eastAsia="宋体" w:hAnsi="宋体" w:hint="eastAsia"/>
          <w:sz w:val="24"/>
        </w:rPr>
        <w:t>www.ccgp.gov.cn</w:t>
      </w:r>
      <w:proofErr w:type="spellEnd"/>
      <w:r>
        <w:rPr>
          <w:rFonts w:ascii="宋体" w:eastAsia="宋体" w:hAnsi="宋体" w:hint="eastAsia"/>
          <w:sz w:val="24"/>
        </w:rPr>
        <w:t>)“政府采购严重违法失信行为信息记录”中的禁止参加政府采购活动期间。（以采购代理机构于采购公告后在“信用中国”网站；（</w:t>
      </w:r>
      <w:proofErr w:type="spellStart"/>
      <w:r>
        <w:rPr>
          <w:rFonts w:ascii="宋体" w:eastAsia="宋体" w:hAnsi="宋体" w:hint="eastAsia"/>
          <w:sz w:val="24"/>
        </w:rPr>
        <w:t>www.creditchina.gov.cn</w:t>
      </w:r>
      <w:proofErr w:type="spellEnd"/>
      <w:r>
        <w:rPr>
          <w:rFonts w:ascii="宋体" w:eastAsia="宋体" w:hAnsi="宋体" w:hint="eastAsia"/>
          <w:sz w:val="24"/>
        </w:rPr>
        <w:t>）及中国政府采购网(</w:t>
      </w:r>
      <w:proofErr w:type="spellStart"/>
      <w:r>
        <w:rPr>
          <w:rFonts w:ascii="宋体" w:eastAsia="宋体" w:hAnsi="宋体" w:hint="eastAsia"/>
          <w:sz w:val="24"/>
        </w:rPr>
        <w:t>www.ccgp.gov.cn</w:t>
      </w:r>
      <w:proofErr w:type="spellEnd"/>
      <w:r>
        <w:rPr>
          <w:rFonts w:ascii="宋体" w:eastAsia="宋体" w:hAnsi="宋体" w:hint="eastAsia"/>
          <w:sz w:val="24"/>
        </w:rPr>
        <w:t>)查询结果为准，如相关失信记录已失效，供应商需在投标文件中提供相关证明资料）；</w:t>
      </w:r>
    </w:p>
    <w:p w14:paraId="24D942D2" w14:textId="77777777" w:rsidR="00EF6091" w:rsidRDefault="00000000">
      <w:pPr>
        <w:numPr>
          <w:ilvl w:val="0"/>
          <w:numId w:val="2"/>
        </w:numPr>
        <w:tabs>
          <w:tab w:val="clear" w:pos="1260"/>
          <w:tab w:val="left" w:pos="0"/>
          <w:tab w:val="left" w:pos="709"/>
          <w:tab w:val="left" w:pos="851"/>
        </w:tabs>
        <w:spacing w:line="360" w:lineRule="auto"/>
        <w:ind w:left="0" w:firstLineChars="200" w:firstLine="480"/>
        <w:rPr>
          <w:rFonts w:ascii="宋体" w:eastAsia="宋体" w:hAnsi="宋体" w:hint="eastAsia"/>
          <w:sz w:val="24"/>
        </w:rPr>
      </w:pPr>
      <w:r>
        <w:rPr>
          <w:rFonts w:ascii="宋体" w:eastAsia="宋体" w:hAnsi="宋体" w:hint="eastAsia"/>
          <w:sz w:val="24"/>
        </w:rPr>
        <w:t>投标单位负责人为同一人或者存在直接控股、管理关系的不同供应商，不得参加同一合同项下的政府采购活动（提供主要股东或出资人信息）；</w:t>
      </w:r>
    </w:p>
    <w:p w14:paraId="144FD95B" w14:textId="77777777" w:rsidR="00EF6091" w:rsidRDefault="00000000">
      <w:pPr>
        <w:numPr>
          <w:ilvl w:val="0"/>
          <w:numId w:val="2"/>
        </w:numPr>
        <w:tabs>
          <w:tab w:val="clear" w:pos="1260"/>
          <w:tab w:val="left" w:pos="0"/>
          <w:tab w:val="left" w:pos="709"/>
          <w:tab w:val="left" w:pos="851"/>
        </w:tabs>
        <w:spacing w:line="360" w:lineRule="auto"/>
        <w:ind w:left="0" w:firstLineChars="200" w:firstLine="480"/>
        <w:rPr>
          <w:rFonts w:ascii="宋体" w:eastAsia="宋体" w:hAnsi="宋体" w:hint="eastAsia"/>
          <w:sz w:val="24"/>
        </w:rPr>
      </w:pPr>
      <w:r>
        <w:rPr>
          <w:rFonts w:ascii="宋体" w:eastAsia="宋体" w:hAnsi="宋体" w:hint="eastAsia"/>
          <w:sz w:val="24"/>
        </w:rPr>
        <w:t>供应商（含其授权的下属单位、分支机构）在近三年内（</w:t>
      </w:r>
      <w:r>
        <w:rPr>
          <w:rFonts w:ascii="宋体" w:eastAsia="宋体" w:hAnsi="宋体"/>
          <w:sz w:val="24"/>
        </w:rPr>
        <w:t>自采购公告发布之日起往前推</w:t>
      </w:r>
      <w:r>
        <w:rPr>
          <w:rFonts w:ascii="宋体" w:eastAsia="宋体" w:hAnsi="宋体" w:hint="eastAsia"/>
          <w:sz w:val="24"/>
        </w:rPr>
        <w:t>三</w:t>
      </w:r>
      <w:r>
        <w:rPr>
          <w:rFonts w:ascii="宋体" w:eastAsia="宋体" w:hAnsi="宋体"/>
          <w:sz w:val="24"/>
        </w:rPr>
        <w:t>年</w:t>
      </w:r>
      <w:r>
        <w:rPr>
          <w:rFonts w:ascii="宋体" w:eastAsia="宋体" w:hAnsi="宋体" w:hint="eastAsia"/>
          <w:sz w:val="24"/>
        </w:rPr>
        <w:t>）经营活动中无重大违法记录；</w:t>
      </w:r>
    </w:p>
    <w:p w14:paraId="01E8F565" w14:textId="77777777" w:rsidR="00EF6091" w:rsidRDefault="00000000">
      <w:pPr>
        <w:numPr>
          <w:ilvl w:val="0"/>
          <w:numId w:val="2"/>
        </w:numPr>
        <w:tabs>
          <w:tab w:val="clear" w:pos="1260"/>
          <w:tab w:val="left" w:pos="0"/>
          <w:tab w:val="left" w:pos="709"/>
          <w:tab w:val="left" w:pos="851"/>
        </w:tabs>
        <w:spacing w:line="360" w:lineRule="auto"/>
        <w:ind w:left="0" w:firstLineChars="200" w:firstLine="480"/>
        <w:rPr>
          <w:rFonts w:ascii="宋体" w:eastAsia="宋体" w:hAnsi="宋体" w:hint="eastAsia"/>
          <w:sz w:val="24"/>
        </w:rPr>
      </w:pPr>
      <w:r>
        <w:rPr>
          <w:rFonts w:ascii="宋体" w:eastAsia="宋体" w:hAnsi="宋体" w:hint="eastAsia"/>
          <w:sz w:val="24"/>
        </w:rPr>
        <w:t>本项目不接受联合体方式投标。</w:t>
      </w:r>
    </w:p>
    <w:p w14:paraId="4F6419EA" w14:textId="77777777" w:rsidR="00EF6091" w:rsidRDefault="00000000">
      <w:pPr>
        <w:pStyle w:val="2"/>
        <w:numPr>
          <w:ilvl w:val="0"/>
          <w:numId w:val="3"/>
        </w:numPr>
        <w:rPr>
          <w:b w:val="0"/>
          <w:color w:val="000000"/>
          <w:shd w:val="clear" w:color="auto" w:fill="FFFFFF"/>
          <w:lang w:eastAsia="zh-CN"/>
        </w:rPr>
      </w:pPr>
      <w:r>
        <w:rPr>
          <w:rFonts w:hint="eastAsia"/>
          <w:bCs/>
          <w:color w:val="000000"/>
          <w:shd w:val="clear" w:color="auto" w:fill="FFFFFF"/>
          <w:lang w:eastAsia="zh-CN"/>
        </w:rPr>
        <w:t>采购项目</w:t>
      </w:r>
      <w:bookmarkStart w:id="15" w:name="_Toc27830"/>
      <w:bookmarkStart w:id="16" w:name="_Toc298313195"/>
      <w:bookmarkStart w:id="17" w:name="_Toc365981186"/>
      <w:bookmarkStart w:id="18" w:name="_Toc326742513"/>
      <w:r>
        <w:rPr>
          <w:rFonts w:hint="eastAsia"/>
          <w:bCs/>
          <w:color w:val="000000"/>
          <w:shd w:val="clear" w:color="auto" w:fill="FFFFFF"/>
          <w:lang w:eastAsia="zh-CN"/>
        </w:rPr>
        <w:t>技术要求</w:t>
      </w:r>
      <w:bookmarkEnd w:id="11"/>
      <w:bookmarkEnd w:id="12"/>
      <w:bookmarkEnd w:id="13"/>
      <w:bookmarkEnd w:id="14"/>
    </w:p>
    <w:bookmarkEnd w:id="15"/>
    <w:bookmarkEnd w:id="16"/>
    <w:bookmarkEnd w:id="17"/>
    <w:bookmarkEnd w:id="18"/>
    <w:p w14:paraId="3CEC69AB" w14:textId="77777777" w:rsidR="00EF6091" w:rsidRDefault="00000000">
      <w:pPr>
        <w:pStyle w:val="a4"/>
        <w:widowControl/>
        <w:tabs>
          <w:tab w:val="left" w:pos="0"/>
        </w:tabs>
        <w:spacing w:line="360" w:lineRule="auto"/>
        <w:ind w:firstLineChars="0" w:firstLine="0"/>
        <w:jc w:val="left"/>
        <w:rPr>
          <w:rFonts w:ascii="Futura Bk" w:eastAsia="Futura Bk" w:hAnsi="Futura Bk"/>
          <w:b/>
          <w:sz w:val="24"/>
        </w:rPr>
      </w:pPr>
      <w:r>
        <w:rPr>
          <w:rStyle w:val="NormalCharacter"/>
          <w:rFonts w:ascii="宋体" w:eastAsia="宋体" w:hAnsi="宋体" w:cs="宋体" w:hint="eastAsia"/>
          <w:b/>
          <w:bCs/>
          <w:kern w:val="0"/>
          <w:sz w:val="24"/>
        </w:rPr>
        <w:t>1.采</w:t>
      </w:r>
      <w:r>
        <w:rPr>
          <w:rStyle w:val="NormalCharacter"/>
          <w:rFonts w:ascii="宋体" w:eastAsia="宋体" w:hAnsi="宋体" w:cs="宋体" w:hint="eastAsia"/>
          <w:b/>
          <w:kern w:val="0"/>
          <w:sz w:val="24"/>
        </w:rPr>
        <w:t>购项目清单</w:t>
      </w:r>
      <w:r>
        <w:rPr>
          <w:rFonts w:ascii="Futura Bk" w:eastAsia="Futura Bk" w:hAnsi="Futura Bk" w:hint="eastAsia"/>
          <w:b/>
          <w:sz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843"/>
        <w:gridCol w:w="3686"/>
      </w:tblGrid>
      <w:tr w:rsidR="00EF6091" w14:paraId="697106EB" w14:textId="77777777">
        <w:trPr>
          <w:trHeight w:hRule="exact" w:val="828"/>
        </w:trPr>
        <w:tc>
          <w:tcPr>
            <w:tcW w:w="709" w:type="dxa"/>
            <w:shd w:val="clear" w:color="auto" w:fill="D9D9D9"/>
            <w:vAlign w:val="center"/>
          </w:tcPr>
          <w:p w14:paraId="2C4173A4" w14:textId="77777777" w:rsidR="00EF6091" w:rsidRDefault="00000000">
            <w:pPr>
              <w:widowControl/>
              <w:jc w:val="center"/>
              <w:rPr>
                <w:rFonts w:ascii="Futura Bk" w:eastAsia="Futura Bk" w:hAnsi="Futura Bk" w:cs="宋体"/>
                <w:b/>
                <w:color w:val="000000"/>
                <w:kern w:val="0"/>
                <w:sz w:val="24"/>
              </w:rPr>
            </w:pPr>
            <w:r>
              <w:rPr>
                <w:rFonts w:ascii="Futura Bk" w:eastAsia="Futura Bk" w:hAnsi="Futura Bk" w:cs="宋体" w:hint="eastAsia"/>
                <w:b/>
                <w:color w:val="000000"/>
                <w:kern w:val="0"/>
                <w:sz w:val="24"/>
              </w:rPr>
              <w:t>序号</w:t>
            </w:r>
          </w:p>
        </w:tc>
        <w:tc>
          <w:tcPr>
            <w:tcW w:w="3260" w:type="dxa"/>
            <w:shd w:val="clear" w:color="auto" w:fill="D9D9D9"/>
            <w:vAlign w:val="center"/>
          </w:tcPr>
          <w:p w14:paraId="50FB6256" w14:textId="77777777" w:rsidR="00EF6091" w:rsidRDefault="00000000">
            <w:pPr>
              <w:spacing w:line="360" w:lineRule="auto"/>
              <w:jc w:val="center"/>
              <w:rPr>
                <w:rFonts w:ascii="Futura Bk" w:eastAsia="Futura Bk" w:hAnsi="Futura Bk"/>
                <w:b/>
                <w:color w:val="000000"/>
                <w:sz w:val="24"/>
              </w:rPr>
            </w:pPr>
            <w:r>
              <w:rPr>
                <w:rFonts w:ascii="Futura Bk" w:eastAsia="Futura Bk" w:hAnsi="Futura Bk" w:hint="eastAsia"/>
                <w:b/>
                <w:color w:val="000000"/>
                <w:sz w:val="24"/>
              </w:rPr>
              <w:t>项目名称</w:t>
            </w:r>
          </w:p>
        </w:tc>
        <w:tc>
          <w:tcPr>
            <w:tcW w:w="1843" w:type="dxa"/>
            <w:shd w:val="clear" w:color="auto" w:fill="D9D9D9"/>
            <w:vAlign w:val="center"/>
          </w:tcPr>
          <w:p w14:paraId="48A015BE" w14:textId="77777777" w:rsidR="00EF6091" w:rsidRDefault="00000000">
            <w:pPr>
              <w:snapToGrid w:val="0"/>
              <w:jc w:val="center"/>
              <w:textAlignment w:val="baseline"/>
              <w:rPr>
                <w:rStyle w:val="NormalCharacter"/>
                <w:rFonts w:ascii="宋体" w:eastAsia="宋体" w:hAnsi="宋体" w:cs="宋体" w:hint="eastAsia"/>
                <w:b/>
                <w:bCs/>
                <w:sz w:val="24"/>
              </w:rPr>
            </w:pPr>
            <w:r>
              <w:rPr>
                <w:rStyle w:val="NormalCharacter"/>
                <w:rFonts w:ascii="宋体" w:eastAsia="宋体" w:hAnsi="宋体" w:cs="宋体" w:hint="eastAsia"/>
                <w:b/>
                <w:bCs/>
                <w:sz w:val="24"/>
              </w:rPr>
              <w:t>数</w:t>
            </w:r>
            <w:r>
              <w:rPr>
                <w:rStyle w:val="NormalCharacter"/>
                <w:rFonts w:ascii="宋体" w:eastAsia="宋体" w:hAnsi="宋体" w:cs="宋体"/>
                <w:b/>
                <w:bCs/>
                <w:sz w:val="24"/>
              </w:rPr>
              <w:t>量</w:t>
            </w:r>
          </w:p>
        </w:tc>
        <w:tc>
          <w:tcPr>
            <w:tcW w:w="3686" w:type="dxa"/>
            <w:shd w:val="clear" w:color="auto" w:fill="D9D9D9"/>
            <w:vAlign w:val="center"/>
          </w:tcPr>
          <w:p w14:paraId="5D765BDD" w14:textId="77777777" w:rsidR="00EF6091" w:rsidRDefault="00000000">
            <w:pPr>
              <w:spacing w:line="360" w:lineRule="auto"/>
              <w:jc w:val="center"/>
              <w:rPr>
                <w:rFonts w:ascii="宋体" w:hAnsi="宋体" w:hint="eastAsia"/>
                <w:color w:val="000000"/>
                <w:sz w:val="24"/>
              </w:rPr>
            </w:pPr>
            <w:r>
              <w:rPr>
                <w:rFonts w:ascii="宋体" w:eastAsia="宋体" w:hAnsi="宋体" w:cs="微软雅黑" w:hint="eastAsia"/>
                <w:bCs/>
                <w:color w:val="000000"/>
                <w:sz w:val="24"/>
              </w:rPr>
              <w:t>遴选</w:t>
            </w:r>
            <w:r>
              <w:rPr>
                <w:rFonts w:ascii="宋体" w:hAnsi="宋体" w:hint="eastAsia"/>
                <w:color w:val="000000"/>
                <w:sz w:val="24"/>
              </w:rPr>
              <w:t>服</w:t>
            </w:r>
            <w:r>
              <w:rPr>
                <w:rFonts w:ascii="宋体" w:hAnsi="宋体"/>
                <w:color w:val="000000"/>
                <w:sz w:val="24"/>
              </w:rPr>
              <w:t>务供应</w:t>
            </w:r>
            <w:r>
              <w:rPr>
                <w:rFonts w:ascii="宋体" w:hAnsi="宋体" w:hint="eastAsia"/>
                <w:color w:val="000000"/>
                <w:sz w:val="24"/>
              </w:rPr>
              <w:t>商</w:t>
            </w:r>
          </w:p>
        </w:tc>
      </w:tr>
      <w:tr w:rsidR="00EF6091" w14:paraId="1F230C93" w14:textId="77777777">
        <w:trPr>
          <w:trHeight w:hRule="exact" w:val="964"/>
        </w:trPr>
        <w:tc>
          <w:tcPr>
            <w:tcW w:w="709" w:type="dxa"/>
            <w:vAlign w:val="center"/>
          </w:tcPr>
          <w:p w14:paraId="770369D5" w14:textId="77777777" w:rsidR="00EF6091" w:rsidRDefault="00000000">
            <w:pPr>
              <w:widowControl/>
              <w:jc w:val="center"/>
              <w:rPr>
                <w:rFonts w:ascii="Futura Bk" w:eastAsia="Futura Bk" w:hAnsi="Futura Bk" w:cs="宋体"/>
                <w:bCs/>
                <w:color w:val="000000"/>
                <w:kern w:val="0"/>
                <w:sz w:val="24"/>
              </w:rPr>
            </w:pPr>
            <w:r>
              <w:rPr>
                <w:rFonts w:ascii="Futura Bk" w:eastAsia="Futura Bk" w:hAnsi="Futura Bk" w:cs="宋体" w:hint="eastAsia"/>
                <w:bCs/>
                <w:color w:val="000000"/>
                <w:kern w:val="0"/>
                <w:sz w:val="24"/>
              </w:rPr>
              <w:t>1</w:t>
            </w:r>
          </w:p>
        </w:tc>
        <w:tc>
          <w:tcPr>
            <w:tcW w:w="3260" w:type="dxa"/>
            <w:vAlign w:val="center"/>
          </w:tcPr>
          <w:p w14:paraId="54DF72E6" w14:textId="77777777" w:rsidR="00EF6091" w:rsidRDefault="00000000">
            <w:pPr>
              <w:jc w:val="center"/>
              <w:rPr>
                <w:rFonts w:ascii="宋体" w:eastAsia="宋体" w:hAnsi="宋体" w:cs="微软雅黑" w:hint="eastAsia"/>
                <w:bCs/>
                <w:color w:val="000000"/>
                <w:sz w:val="24"/>
              </w:rPr>
            </w:pPr>
            <w:r>
              <w:rPr>
                <w:rFonts w:ascii="宋体" w:eastAsia="宋体" w:hAnsi="宋体" w:cs="微软雅黑" w:hint="eastAsia"/>
                <w:bCs/>
                <w:color w:val="000000"/>
                <w:sz w:val="24"/>
              </w:rPr>
              <w:t>遴选医院知识产权专利代理机构</w:t>
            </w:r>
          </w:p>
        </w:tc>
        <w:tc>
          <w:tcPr>
            <w:tcW w:w="1843" w:type="dxa"/>
            <w:vAlign w:val="center"/>
          </w:tcPr>
          <w:p w14:paraId="693F7BAD" w14:textId="5317FAFD" w:rsidR="00EF6091" w:rsidRDefault="000620D9">
            <w:pPr>
              <w:jc w:val="center"/>
              <w:rPr>
                <w:rFonts w:ascii="宋体" w:eastAsia="宋体" w:hAnsi="宋体" w:cs="微软雅黑" w:hint="eastAsia"/>
                <w:bCs/>
                <w:color w:val="000000"/>
                <w:sz w:val="24"/>
              </w:rPr>
            </w:pPr>
            <w:r w:rsidRPr="000620D9">
              <w:rPr>
                <w:rFonts w:ascii="宋体" w:eastAsia="宋体" w:hAnsi="宋体" w:cs="微软雅黑" w:hint="eastAsia"/>
                <w:bCs/>
                <w:sz w:val="24"/>
              </w:rPr>
              <w:t>2</w:t>
            </w:r>
            <w:r w:rsidR="00000000" w:rsidRPr="000620D9">
              <w:rPr>
                <w:rFonts w:ascii="宋体" w:eastAsia="宋体" w:hAnsi="宋体" w:cs="微软雅黑" w:hint="eastAsia"/>
                <w:bCs/>
                <w:sz w:val="24"/>
              </w:rPr>
              <w:t>年</w:t>
            </w:r>
          </w:p>
        </w:tc>
        <w:tc>
          <w:tcPr>
            <w:tcW w:w="3686" w:type="dxa"/>
            <w:vAlign w:val="center"/>
          </w:tcPr>
          <w:p w14:paraId="0CB95C4B" w14:textId="77777777" w:rsidR="00EF6091" w:rsidRDefault="00000000">
            <w:pPr>
              <w:spacing w:line="360" w:lineRule="auto"/>
              <w:jc w:val="center"/>
              <w:rPr>
                <w:rFonts w:ascii="宋体" w:eastAsia="宋体" w:hAnsi="宋体" w:cs="微软雅黑" w:hint="eastAsia"/>
                <w:bCs/>
                <w:color w:val="000000"/>
                <w:sz w:val="24"/>
              </w:rPr>
            </w:pPr>
            <w:r>
              <w:rPr>
                <w:rFonts w:ascii="宋体" w:eastAsia="宋体" w:hAnsi="宋体" w:cs="微软雅黑" w:hint="eastAsia"/>
                <w:bCs/>
                <w:color w:val="000000"/>
                <w:sz w:val="24"/>
              </w:rPr>
              <w:t>3家</w:t>
            </w:r>
          </w:p>
        </w:tc>
      </w:tr>
    </w:tbl>
    <w:p w14:paraId="1D996F4B" w14:textId="77777777" w:rsidR="00EF6091" w:rsidRDefault="00000000">
      <w:pPr>
        <w:pStyle w:val="a4"/>
        <w:widowControl/>
        <w:tabs>
          <w:tab w:val="left" w:pos="0"/>
        </w:tabs>
        <w:spacing w:line="360" w:lineRule="auto"/>
        <w:ind w:firstLineChars="0" w:firstLine="0"/>
        <w:jc w:val="left"/>
        <w:rPr>
          <w:rStyle w:val="NormalCharacter"/>
          <w:rFonts w:ascii="宋体" w:eastAsia="宋体" w:hAnsi="宋体" w:cs="宋体" w:hint="eastAsia"/>
          <w:b/>
          <w:bCs/>
          <w:kern w:val="0"/>
          <w:sz w:val="24"/>
        </w:rPr>
      </w:pPr>
      <w:r>
        <w:rPr>
          <w:rStyle w:val="NormalCharacter"/>
          <w:rFonts w:ascii="宋体" w:eastAsia="宋体" w:hAnsi="宋体" w:cs="宋体" w:hint="eastAsia"/>
          <w:b/>
          <w:bCs/>
          <w:kern w:val="0"/>
          <w:sz w:val="24"/>
        </w:rPr>
        <w:t>2.项</w:t>
      </w:r>
      <w:r>
        <w:rPr>
          <w:rStyle w:val="NormalCharacter"/>
          <w:rFonts w:ascii="宋体" w:eastAsia="宋体" w:hAnsi="宋体" w:cs="宋体"/>
          <w:b/>
          <w:bCs/>
          <w:kern w:val="0"/>
          <w:sz w:val="24"/>
        </w:rPr>
        <w:t>目</w:t>
      </w:r>
      <w:r>
        <w:rPr>
          <w:rStyle w:val="NormalCharacter"/>
          <w:rFonts w:ascii="宋体" w:eastAsia="宋体" w:hAnsi="宋体" w:cs="宋体" w:hint="eastAsia"/>
          <w:b/>
          <w:bCs/>
          <w:kern w:val="0"/>
          <w:sz w:val="24"/>
        </w:rPr>
        <w:t>服</w:t>
      </w:r>
      <w:r>
        <w:rPr>
          <w:rStyle w:val="NormalCharacter"/>
          <w:rFonts w:ascii="宋体" w:eastAsia="宋体" w:hAnsi="宋体" w:cs="宋体"/>
          <w:b/>
          <w:bCs/>
          <w:kern w:val="0"/>
          <w:sz w:val="24"/>
        </w:rPr>
        <w:t>务</w:t>
      </w:r>
      <w:r>
        <w:rPr>
          <w:rStyle w:val="NormalCharacter"/>
          <w:rFonts w:ascii="宋体" w:eastAsia="宋体" w:hAnsi="宋体" w:cs="宋体" w:hint="eastAsia"/>
          <w:b/>
          <w:bCs/>
          <w:kern w:val="0"/>
          <w:sz w:val="24"/>
        </w:rPr>
        <w:t>要</w:t>
      </w:r>
      <w:r>
        <w:rPr>
          <w:rStyle w:val="NormalCharacter"/>
          <w:rFonts w:ascii="宋体" w:eastAsia="宋体" w:hAnsi="宋体" w:cs="宋体"/>
          <w:b/>
          <w:bCs/>
          <w:kern w:val="0"/>
          <w:sz w:val="24"/>
        </w:rPr>
        <w:t>求</w:t>
      </w:r>
      <w:r>
        <w:rPr>
          <w:rStyle w:val="NormalCharacter"/>
          <w:rFonts w:ascii="宋体" w:eastAsia="宋体" w:hAnsi="宋体" w:cs="宋体" w:hint="eastAsia"/>
          <w:b/>
          <w:bCs/>
          <w:kern w:val="0"/>
          <w:sz w:val="24"/>
        </w:rPr>
        <w:t xml:space="preserve"> （包含但</w:t>
      </w:r>
      <w:r>
        <w:rPr>
          <w:rStyle w:val="NormalCharacter"/>
          <w:rFonts w:ascii="宋体" w:eastAsia="宋体" w:hAnsi="宋体" w:cs="宋体"/>
          <w:b/>
          <w:bCs/>
          <w:kern w:val="0"/>
          <w:sz w:val="24"/>
        </w:rPr>
        <w:t>不限于以下内容）</w:t>
      </w:r>
    </w:p>
    <w:p w14:paraId="2F3603F7"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1</w:t>
      </w:r>
      <w:r>
        <w:rPr>
          <w:rFonts w:ascii="宋体" w:eastAsia="宋体" w:hAnsi="宋体" w:cs="宋体" w:hint="eastAsia"/>
          <w:sz w:val="24"/>
        </w:rPr>
        <w:t>）申请专利提供咨询。</w:t>
      </w:r>
    </w:p>
    <w:p w14:paraId="2C56BDCB"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）供应商必须安排不少于1名专职专利代理人员为采购人专职办理专利申请、专利撰写、流程跟进、官费代缴等相关工作，直至专利授权。</w:t>
      </w:r>
    </w:p>
    <w:p w14:paraId="2ABAE6BA"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）维护采购人合法权益，对采购人提供的技术资料负有保密责任。</w:t>
      </w:r>
    </w:p>
    <w:p w14:paraId="5CE903B3"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）代理专利申请的复审、专利权的撤销或者无效宣告中的各项事务，或</w:t>
      </w:r>
      <w:r>
        <w:rPr>
          <w:rFonts w:ascii="宋体" w:eastAsia="宋体" w:hAnsi="宋体" w:cs="宋体" w:hint="eastAsia"/>
          <w:sz w:val="24"/>
        </w:rPr>
        <w:lastRenderedPageBreak/>
        <w:t>为上述程序提供咨询。</w:t>
      </w:r>
    </w:p>
    <w:p w14:paraId="5AF4D7D7"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）代为及时、足额缴纳专利申请过程中需缴纳的申请费和实质审查费等官方收取的费用。</w:t>
      </w:r>
    </w:p>
    <w:p w14:paraId="37A8DD36"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）协助采购</w:t>
      </w:r>
      <w:r>
        <w:rPr>
          <w:rFonts w:ascii="宋体" w:eastAsia="宋体" w:hAnsi="宋体" w:cs="宋体"/>
          <w:sz w:val="24"/>
        </w:rPr>
        <w:t>人</w:t>
      </w:r>
      <w:r>
        <w:rPr>
          <w:rFonts w:ascii="宋体" w:eastAsia="宋体" w:hAnsi="宋体" w:cs="宋体" w:hint="eastAsia"/>
          <w:sz w:val="24"/>
        </w:rPr>
        <w:t>做好授权专利后续管理，及时提醒已经委托办理的专利年费的缴付时间并代为向专利行政部门支付采购人名下专利的年费。</w:t>
      </w:r>
    </w:p>
    <w:p w14:paraId="347F709C"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）供应商需慎重对待采购人的专利申请要求，预判申请内容是否符合授权标准，是否已存在相同专利，评估专利授权成功率以及给出指导性意见；</w:t>
      </w:r>
    </w:p>
    <w:p w14:paraId="17DA3B9E"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sz w:val="24"/>
        </w:rPr>
        <w:t>(8)</w:t>
      </w:r>
      <w:r>
        <w:rPr>
          <w:rFonts w:ascii="宋体" w:eastAsia="宋体" w:hAnsi="宋体" w:cs="宋体" w:hint="eastAsia"/>
          <w:sz w:val="24"/>
        </w:rPr>
        <w:t>提供成果转化指导和规划服务，协助医院办理成果转化事宜。</w:t>
      </w:r>
    </w:p>
    <w:p w14:paraId="339FBFDA"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sz w:val="24"/>
        </w:rPr>
        <w:t>(9)</w:t>
      </w:r>
      <w:r>
        <w:rPr>
          <w:rFonts w:ascii="宋体" w:eastAsia="宋体" w:hAnsi="宋体" w:cs="宋体" w:hint="eastAsia"/>
          <w:sz w:val="24"/>
        </w:rPr>
        <w:t>提供知识产权、成果转化等培训服务，定期开展相关政策、进展等培训，每年不少于2次。</w:t>
      </w:r>
    </w:p>
    <w:p w14:paraId="677B3391"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sz w:val="24"/>
        </w:rPr>
        <w:t>(10)</w:t>
      </w:r>
      <w:r>
        <w:rPr>
          <w:rFonts w:ascii="宋体" w:eastAsia="宋体" w:hAnsi="宋体" w:cs="宋体" w:hint="eastAsia"/>
          <w:sz w:val="24"/>
        </w:rPr>
        <w:t>其他有关专利事务。</w:t>
      </w:r>
    </w:p>
    <w:p w14:paraId="12F2828B" w14:textId="77777777" w:rsidR="00EF6091" w:rsidRDefault="00000000">
      <w:pPr>
        <w:pStyle w:val="2"/>
        <w:numPr>
          <w:ilvl w:val="0"/>
          <w:numId w:val="3"/>
        </w:numPr>
        <w:rPr>
          <w:bCs/>
          <w:color w:val="000000"/>
          <w:shd w:val="clear" w:color="auto" w:fill="FFFFFF"/>
          <w:lang w:eastAsia="zh-CN"/>
        </w:rPr>
      </w:pPr>
      <w:bookmarkStart w:id="19" w:name="_Toc112942390"/>
      <w:bookmarkStart w:id="20" w:name="_Toc14948623"/>
      <w:r>
        <w:rPr>
          <w:rFonts w:hint="eastAsia"/>
          <w:bCs/>
          <w:color w:val="000000"/>
          <w:shd w:val="clear" w:color="auto" w:fill="FFFFFF"/>
          <w:lang w:eastAsia="zh-CN"/>
        </w:rPr>
        <w:t>采购项目商务要求</w:t>
      </w:r>
      <w:bookmarkEnd w:id="19"/>
      <w:bookmarkEnd w:id="20"/>
    </w:p>
    <w:p w14:paraId="2F300235" w14:textId="77777777" w:rsidR="00EF6091" w:rsidRDefault="00000000">
      <w:pPr>
        <w:spacing w:line="360" w:lineRule="auto"/>
        <w:rPr>
          <w:rFonts w:ascii="宋体" w:eastAsia="宋体" w:hAnsi="宋体" w:hint="eastAsia"/>
          <w:color w:val="000000"/>
          <w:sz w:val="24"/>
        </w:rPr>
      </w:pPr>
      <w:r>
        <w:rPr>
          <w:rFonts w:ascii="宋体" w:eastAsia="宋体" w:hAnsi="宋体" w:hint="eastAsia"/>
          <w:b/>
          <w:color w:val="000000"/>
          <w:sz w:val="24"/>
        </w:rPr>
        <w:t>（一）报价要求</w:t>
      </w:r>
      <w:r>
        <w:rPr>
          <w:rFonts w:ascii="宋体" w:eastAsia="宋体" w:hAnsi="宋体" w:hint="eastAsia"/>
          <w:b/>
          <w:bCs/>
          <w:color w:val="000000"/>
          <w:sz w:val="24"/>
        </w:rPr>
        <w:t>：</w:t>
      </w:r>
    </w:p>
    <w:p w14:paraId="5F9F6406"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1.本项目采用明</w:t>
      </w:r>
      <w:r>
        <w:rPr>
          <w:rFonts w:ascii="宋体" w:eastAsia="宋体" w:hAnsi="宋体" w:cs="宋体"/>
          <w:sz w:val="24"/>
        </w:rPr>
        <w:t>细报价</w:t>
      </w:r>
      <w:r>
        <w:rPr>
          <w:rFonts w:ascii="宋体" w:eastAsia="宋体" w:hAnsi="宋体" w:cs="宋体" w:hint="eastAsia"/>
          <w:sz w:val="24"/>
        </w:rPr>
        <w:t>方式，报价已包括但不限于专利代理费、官方费用、手续费、数据分析处理、资料传递、通讯、交通、差旅费、验收、售后服务、全额含税发票及合同实施过程中的不可预见费用等。</w:t>
      </w:r>
    </w:p>
    <w:p w14:paraId="439B4C59"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color w:val="FF0000"/>
          <w:sz w:val="24"/>
        </w:rPr>
        <w:t>2.专利因非正常申请被驳回，供应商不得收取上述费用。</w:t>
      </w:r>
    </w:p>
    <w:p w14:paraId="686BADFE" w14:textId="77777777" w:rsidR="00EF6091" w:rsidRDefault="00000000">
      <w:pPr>
        <w:pStyle w:val="a5"/>
        <w:spacing w:before="0" w:after="0" w:line="360" w:lineRule="auto"/>
        <w:rPr>
          <w:rFonts w:ascii="宋体" w:eastAsia="宋体" w:hAnsi="宋体" w:hint="eastAsia"/>
          <w:color w:val="000000"/>
        </w:rPr>
      </w:pPr>
      <w:r>
        <w:rPr>
          <w:rFonts w:ascii="宋体" w:eastAsia="宋体" w:hAnsi="宋体" w:hint="eastAsia"/>
          <w:b/>
          <w:color w:val="000000"/>
        </w:rPr>
        <w:t>（二）服务地点</w:t>
      </w:r>
      <w:r>
        <w:rPr>
          <w:rFonts w:ascii="宋体" w:eastAsia="宋体" w:hAnsi="宋体" w:hint="eastAsia"/>
          <w:b/>
          <w:bCs w:val="0"/>
          <w:color w:val="000000"/>
        </w:rPr>
        <w:t>：</w:t>
      </w:r>
      <w:r>
        <w:rPr>
          <w:rFonts w:ascii="宋体" w:eastAsia="宋体" w:hAnsi="宋体" w:hint="eastAsia"/>
          <w:color w:val="000000"/>
        </w:rPr>
        <w:t>佛山市卫国路78号佛山市第二人民医院指定</w:t>
      </w:r>
      <w:r>
        <w:rPr>
          <w:rFonts w:ascii="宋体" w:eastAsia="宋体" w:hAnsi="宋体"/>
          <w:color w:val="000000"/>
        </w:rPr>
        <w:t>地点</w:t>
      </w:r>
      <w:r>
        <w:rPr>
          <w:rFonts w:ascii="宋体" w:eastAsia="宋体" w:hAnsi="宋体" w:hint="eastAsia"/>
          <w:color w:val="000000"/>
        </w:rPr>
        <w:t>。</w:t>
      </w:r>
    </w:p>
    <w:p w14:paraId="3D2E1DF2" w14:textId="76A68920" w:rsidR="00EF6091" w:rsidRDefault="00000000">
      <w:pPr>
        <w:pStyle w:val="a5"/>
        <w:spacing w:before="0" w:after="0" w:line="360" w:lineRule="auto"/>
        <w:rPr>
          <w:rFonts w:ascii="宋体" w:eastAsia="宋体" w:hAnsi="宋体" w:hint="eastAsia"/>
          <w:color w:val="000000"/>
        </w:rPr>
      </w:pPr>
      <w:r>
        <w:rPr>
          <w:rFonts w:ascii="宋体" w:eastAsia="宋体" w:hAnsi="宋体" w:hint="eastAsia"/>
          <w:b/>
          <w:color w:val="000000"/>
        </w:rPr>
        <w:t>（三）服务期</w:t>
      </w:r>
      <w:r>
        <w:rPr>
          <w:rFonts w:ascii="宋体" w:eastAsia="宋体" w:hAnsi="宋体"/>
          <w:b/>
          <w:color w:val="000000"/>
        </w:rPr>
        <w:t>限</w:t>
      </w:r>
      <w:r>
        <w:rPr>
          <w:rFonts w:ascii="宋体" w:eastAsia="宋体" w:hAnsi="宋体" w:hint="eastAsia"/>
          <w:b/>
          <w:color w:val="000000"/>
        </w:rPr>
        <w:t>：</w:t>
      </w:r>
      <w:r w:rsidR="000620D9" w:rsidRPr="000620D9">
        <w:rPr>
          <w:rFonts w:ascii="宋体" w:eastAsia="宋体" w:hAnsi="宋体" w:hint="eastAsia"/>
        </w:rPr>
        <w:t>2</w:t>
      </w:r>
      <w:r w:rsidRPr="000620D9">
        <w:rPr>
          <w:rFonts w:ascii="宋体" w:eastAsia="宋体" w:hAnsi="宋体" w:hint="eastAsia"/>
        </w:rPr>
        <w:t>年</w:t>
      </w:r>
      <w:r>
        <w:rPr>
          <w:rFonts w:ascii="宋体" w:eastAsia="宋体" w:hAnsi="宋体" w:hint="eastAsia"/>
          <w:color w:val="000000"/>
          <w:kern w:val="0"/>
        </w:rPr>
        <w:t>。</w:t>
      </w:r>
      <w:r>
        <w:rPr>
          <w:rFonts w:ascii="宋体" w:eastAsia="宋体" w:hAnsi="宋体" w:hint="eastAsia"/>
          <w:color w:val="000000"/>
        </w:rPr>
        <w:t xml:space="preserve"> </w:t>
      </w:r>
    </w:p>
    <w:p w14:paraId="501EDD18" w14:textId="77777777" w:rsidR="00EF6091" w:rsidRDefault="00000000">
      <w:pPr>
        <w:spacing w:line="360" w:lineRule="auto"/>
        <w:rPr>
          <w:rFonts w:ascii="宋体" w:eastAsia="宋体" w:hAnsi="宋体" w:hint="eastAsia"/>
          <w:b/>
          <w:color w:val="000000"/>
          <w:sz w:val="24"/>
        </w:rPr>
      </w:pPr>
      <w:r>
        <w:rPr>
          <w:rFonts w:ascii="宋体" w:eastAsia="宋体" w:hAnsi="宋体" w:hint="eastAsia"/>
          <w:b/>
          <w:color w:val="000000"/>
          <w:sz w:val="24"/>
        </w:rPr>
        <w:t>（四）付款方式：</w:t>
      </w:r>
    </w:p>
    <w:p w14:paraId="7111F3BD"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1.采购人根据中标供应</w:t>
      </w:r>
      <w:r>
        <w:rPr>
          <w:rFonts w:ascii="宋体" w:eastAsia="宋体" w:hAnsi="宋体" w:cs="宋体"/>
          <w:sz w:val="24"/>
        </w:rPr>
        <w:t>商</w:t>
      </w:r>
      <w:r>
        <w:rPr>
          <w:rFonts w:ascii="宋体" w:eastAsia="宋体" w:hAnsi="宋体" w:cs="宋体" w:hint="eastAsia"/>
          <w:sz w:val="24"/>
        </w:rPr>
        <w:t>完成知识产权等数量乘以合同金额相对应的单价明细金额支付中标供应</w:t>
      </w:r>
      <w:r>
        <w:rPr>
          <w:rFonts w:ascii="宋体" w:eastAsia="宋体" w:hAnsi="宋体" w:cs="宋体"/>
          <w:sz w:val="24"/>
        </w:rPr>
        <w:t>商</w:t>
      </w:r>
      <w:r>
        <w:rPr>
          <w:rFonts w:ascii="宋体" w:eastAsia="宋体" w:hAnsi="宋体" w:cs="宋体" w:hint="eastAsia"/>
          <w:sz w:val="24"/>
        </w:rPr>
        <w:t>费用。</w:t>
      </w:r>
    </w:p>
    <w:p w14:paraId="5C048E51"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2.知识产权等事项的申请受理通知书下达后，中标供应</w:t>
      </w:r>
      <w:r>
        <w:rPr>
          <w:rFonts w:ascii="宋体" w:eastAsia="宋体" w:hAnsi="宋体" w:cs="宋体"/>
          <w:sz w:val="24"/>
        </w:rPr>
        <w:t>商</w:t>
      </w:r>
      <w:r>
        <w:rPr>
          <w:rFonts w:ascii="宋体" w:eastAsia="宋体" w:hAnsi="宋体" w:cs="宋体" w:hint="eastAsia"/>
          <w:sz w:val="24"/>
        </w:rPr>
        <w:t>提供申请受理通知书、官费缴费通知书及对应含税全额发票，采购人支付中标供应</w:t>
      </w:r>
      <w:r>
        <w:rPr>
          <w:rFonts w:ascii="宋体" w:eastAsia="宋体" w:hAnsi="宋体" w:cs="宋体"/>
          <w:sz w:val="24"/>
        </w:rPr>
        <w:t>商</w:t>
      </w:r>
      <w:r>
        <w:rPr>
          <w:rFonts w:ascii="宋体" w:eastAsia="宋体" w:hAnsi="宋体" w:cs="宋体" w:hint="eastAsia"/>
          <w:sz w:val="24"/>
        </w:rPr>
        <w:t>对应的费用。</w:t>
      </w:r>
      <w:r>
        <w:rPr>
          <w:rFonts w:ascii="宋体" w:eastAsia="宋体" w:hAnsi="宋体" w:cs="宋体"/>
          <w:sz w:val="24"/>
        </w:rPr>
        <w:t xml:space="preserve"> </w:t>
      </w:r>
    </w:p>
    <w:p w14:paraId="39558540"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3. 中标供应</w:t>
      </w:r>
      <w:r>
        <w:rPr>
          <w:rFonts w:ascii="宋体" w:eastAsia="宋体" w:hAnsi="宋体" w:cs="宋体"/>
          <w:sz w:val="24"/>
        </w:rPr>
        <w:t>商必须提供真实有效的合法</w:t>
      </w:r>
      <w:r>
        <w:rPr>
          <w:rFonts w:ascii="宋体" w:eastAsia="宋体" w:hAnsi="宋体" w:cs="宋体" w:hint="eastAsia"/>
          <w:sz w:val="24"/>
        </w:rPr>
        <w:t>全额</w:t>
      </w:r>
      <w:r>
        <w:rPr>
          <w:rFonts w:ascii="宋体" w:eastAsia="宋体" w:hAnsi="宋体" w:cs="宋体"/>
          <w:sz w:val="24"/>
        </w:rPr>
        <w:t>发票，不符合规定的发票，不得作为财务报销凭证，任何单位和个人有权拒收，乙方须承担一切法律责任及经济损失，同时，</w:t>
      </w:r>
      <w:r>
        <w:rPr>
          <w:rFonts w:ascii="宋体" w:eastAsia="宋体" w:hAnsi="宋体" w:cs="宋体" w:hint="eastAsia"/>
          <w:sz w:val="24"/>
        </w:rPr>
        <w:t>采购人</w:t>
      </w:r>
      <w:r>
        <w:rPr>
          <w:rFonts w:ascii="宋体" w:eastAsia="宋体" w:hAnsi="宋体" w:cs="宋体"/>
          <w:sz w:val="24"/>
        </w:rPr>
        <w:t>有权取消供应商中标资格并终止合同</w:t>
      </w:r>
      <w:r>
        <w:rPr>
          <w:rFonts w:ascii="宋体" w:eastAsia="宋体" w:hAnsi="宋体" w:cs="宋体" w:hint="eastAsia"/>
          <w:sz w:val="24"/>
        </w:rPr>
        <w:t>。</w:t>
      </w:r>
    </w:p>
    <w:p w14:paraId="34F18174" w14:textId="77777777" w:rsidR="00EF6091" w:rsidRDefault="00000000">
      <w:pPr>
        <w:spacing w:line="360" w:lineRule="auto"/>
        <w:rPr>
          <w:rFonts w:ascii="宋体" w:eastAsia="宋体" w:hAnsi="宋体" w:hint="eastAsia"/>
          <w:b/>
          <w:color w:val="000000"/>
          <w:sz w:val="24"/>
        </w:rPr>
      </w:pPr>
      <w:r>
        <w:rPr>
          <w:rFonts w:ascii="宋体" w:eastAsia="宋体" w:hAnsi="宋体" w:hint="eastAsia"/>
          <w:b/>
          <w:color w:val="000000"/>
          <w:sz w:val="24"/>
        </w:rPr>
        <w:t>（五）其他要求：</w:t>
      </w:r>
    </w:p>
    <w:p w14:paraId="20D41CFB"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项目合同签订后，成交供应商不能随意转包或分包给第三方，否则采购人有</w:t>
      </w:r>
      <w:r>
        <w:rPr>
          <w:rFonts w:ascii="宋体" w:eastAsia="宋体" w:hAnsi="宋体" w:cs="宋体" w:hint="eastAsia"/>
          <w:sz w:val="24"/>
        </w:rPr>
        <w:lastRenderedPageBreak/>
        <w:t>权单方面终止合同。</w:t>
      </w:r>
    </w:p>
    <w:p w14:paraId="4D2A4687" w14:textId="77777777" w:rsidR="00EF6091"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依据《广东省知识产权局关于加大力度遏制非正常专利申请行为的通知》（</w:t>
      </w:r>
      <w:proofErr w:type="gramStart"/>
      <w:r>
        <w:rPr>
          <w:rFonts w:ascii="宋体" w:eastAsia="宋体" w:hAnsi="宋体" w:cs="宋体" w:hint="eastAsia"/>
          <w:sz w:val="24"/>
        </w:rPr>
        <w:t>粤知</w:t>
      </w:r>
      <w:proofErr w:type="gramEnd"/>
      <w:r>
        <w:rPr>
          <w:rFonts w:ascii="宋体" w:eastAsia="宋体" w:hAnsi="宋体" w:cs="宋体" w:hint="eastAsia"/>
          <w:sz w:val="24"/>
        </w:rPr>
        <w:t>[2022]77号））被通报达6次，一票否决。</w:t>
      </w:r>
    </w:p>
    <w:p w14:paraId="43CC4C42" w14:textId="77777777" w:rsidR="00EF6091" w:rsidRDefault="00000000">
      <w:pPr>
        <w:pStyle w:val="2"/>
        <w:spacing w:afterLines="50" w:after="156"/>
        <w:rPr>
          <w:shd w:val="clear" w:color="auto" w:fill="FFFFFF"/>
        </w:rPr>
      </w:pPr>
      <w:bookmarkStart w:id="21" w:name="_Toc108508481"/>
      <w:bookmarkStart w:id="22" w:name="_Toc112942392"/>
      <w:r>
        <w:rPr>
          <w:rFonts w:hint="eastAsia"/>
          <w:lang w:eastAsia="zh-CN"/>
        </w:rPr>
        <w:t>四、</w:t>
      </w:r>
      <w:proofErr w:type="spellStart"/>
      <w:r>
        <w:rPr>
          <w:rFonts w:hint="eastAsia"/>
        </w:rPr>
        <w:t>评审方法</w:t>
      </w:r>
      <w:bookmarkEnd w:id="21"/>
      <w:bookmarkEnd w:id="22"/>
      <w:proofErr w:type="spellEnd"/>
    </w:p>
    <w:p w14:paraId="2F593A3E" w14:textId="77777777" w:rsidR="00EF6091" w:rsidRDefault="00000000">
      <w:pPr>
        <w:pStyle w:val="a5"/>
        <w:numPr>
          <w:ilvl w:val="0"/>
          <w:numId w:val="4"/>
        </w:numPr>
        <w:spacing w:before="0" w:after="0" w:line="360" w:lineRule="auto"/>
        <w:jc w:val="both"/>
        <w:rPr>
          <w:rFonts w:ascii="Futura Bk" w:eastAsia="Futura Bk" w:hAnsi="Futura Bk"/>
          <w:snapToGrid w:val="0"/>
          <w:spacing w:val="0"/>
        </w:rPr>
      </w:pPr>
      <w:r>
        <w:rPr>
          <w:rFonts w:ascii="Futura Bk" w:eastAsia="Futura Bk" w:hAnsi="Futura Bk" w:hint="eastAsia"/>
          <w:snapToGrid w:val="0"/>
          <w:spacing w:val="0"/>
        </w:rPr>
        <w:t>评选小组成员组成：成员为五人或以上单数，由采购人代表和其它相关专家组成。</w:t>
      </w:r>
    </w:p>
    <w:p w14:paraId="60AFE2EA" w14:textId="77777777" w:rsidR="00EF6091" w:rsidRDefault="00000000">
      <w:pPr>
        <w:pStyle w:val="a5"/>
        <w:numPr>
          <w:ilvl w:val="0"/>
          <w:numId w:val="4"/>
        </w:numPr>
        <w:spacing w:before="0" w:after="0" w:line="360" w:lineRule="auto"/>
        <w:jc w:val="both"/>
        <w:rPr>
          <w:rFonts w:ascii="Futura Bk" w:eastAsia="Futura Bk" w:hAnsi="Futura Bk"/>
          <w:snapToGrid w:val="0"/>
          <w:spacing w:val="0"/>
        </w:rPr>
      </w:pPr>
      <w:r>
        <w:rPr>
          <w:rFonts w:ascii="Futura Bk" w:eastAsia="Futura Bk" w:hAnsi="Futura Bk" w:hint="eastAsia"/>
          <w:snapToGrid w:val="0"/>
          <w:spacing w:val="0"/>
        </w:rPr>
        <w:t>评选小组成员应当按照客观、公正、审慎的原则，根据采购文件规定的评选流程、评审方法和评选标准进行独立评审。</w:t>
      </w:r>
    </w:p>
    <w:p w14:paraId="612DC088" w14:textId="77777777" w:rsidR="00EF6091" w:rsidRDefault="00000000">
      <w:pPr>
        <w:pStyle w:val="a5"/>
        <w:numPr>
          <w:ilvl w:val="0"/>
          <w:numId w:val="4"/>
        </w:numPr>
        <w:spacing w:before="0" w:after="0" w:line="360" w:lineRule="auto"/>
        <w:jc w:val="both"/>
        <w:rPr>
          <w:rFonts w:ascii="Futura Bk" w:eastAsia="Futura Bk" w:hAnsi="Futura Bk"/>
          <w:snapToGrid w:val="0"/>
          <w:spacing w:val="0"/>
        </w:rPr>
      </w:pPr>
      <w:r>
        <w:rPr>
          <w:rFonts w:ascii="Futura Bk" w:eastAsia="Futura Bk" w:hAnsi="Futura Bk" w:hint="eastAsia"/>
          <w:snapToGrid w:val="0"/>
          <w:spacing w:val="0"/>
        </w:rPr>
        <w:t>评选流程：分为资格性和符合性审查、磋商和综合评审三部分。只有通过了资格性、符合性审查的供应商才可</w:t>
      </w:r>
      <w:proofErr w:type="gramStart"/>
      <w:r>
        <w:rPr>
          <w:rFonts w:ascii="Futura Bk" w:eastAsia="Futura Bk" w:hAnsi="Futura Bk" w:hint="eastAsia"/>
          <w:snapToGrid w:val="0"/>
          <w:spacing w:val="0"/>
        </w:rPr>
        <w:t>进入磋商</w:t>
      </w:r>
      <w:proofErr w:type="gramEnd"/>
      <w:r>
        <w:rPr>
          <w:rFonts w:ascii="Futura Bk" w:eastAsia="Futura Bk" w:hAnsi="Futura Bk" w:hint="eastAsia"/>
          <w:snapToGrid w:val="0"/>
          <w:spacing w:val="0"/>
        </w:rPr>
        <w:t>和综合评审程序，不能通过的供应商即被淘汰。</w:t>
      </w:r>
    </w:p>
    <w:p w14:paraId="5B2346FF" w14:textId="77777777" w:rsidR="00EF6091" w:rsidRDefault="00000000">
      <w:pPr>
        <w:pStyle w:val="a5"/>
        <w:numPr>
          <w:ilvl w:val="0"/>
          <w:numId w:val="4"/>
        </w:numPr>
        <w:spacing w:before="0" w:after="0" w:line="360" w:lineRule="auto"/>
        <w:jc w:val="both"/>
        <w:rPr>
          <w:rFonts w:ascii="Futura Bk" w:eastAsia="Futura Bk" w:hAnsi="Futura Bk"/>
          <w:b/>
          <w:snapToGrid w:val="0"/>
          <w:spacing w:val="0"/>
        </w:rPr>
      </w:pPr>
      <w:r>
        <w:rPr>
          <w:rFonts w:ascii="Futura Bk" w:eastAsia="Futura Bk" w:hAnsi="Futura Bk" w:hint="eastAsia"/>
          <w:b/>
          <w:snapToGrid w:val="0"/>
          <w:spacing w:val="0"/>
        </w:rPr>
        <w:t>资格性和符合性审查：</w:t>
      </w:r>
    </w:p>
    <w:p w14:paraId="30AED1C4" w14:textId="77777777" w:rsidR="00EF6091" w:rsidRDefault="00000000">
      <w:pPr>
        <w:pStyle w:val="a5"/>
        <w:numPr>
          <w:ilvl w:val="0"/>
          <w:numId w:val="5"/>
        </w:numPr>
        <w:tabs>
          <w:tab w:val="left" w:pos="0"/>
          <w:tab w:val="left" w:pos="567"/>
        </w:tabs>
        <w:spacing w:before="0" w:after="0" w:line="360" w:lineRule="auto"/>
        <w:ind w:left="567" w:hanging="567"/>
        <w:jc w:val="both"/>
        <w:rPr>
          <w:rFonts w:ascii="Futura Bk" w:eastAsia="Futura Bk" w:hAnsi="Futura Bk"/>
          <w:snapToGrid w:val="0"/>
          <w:spacing w:val="0"/>
        </w:rPr>
      </w:pPr>
      <w:r>
        <w:rPr>
          <w:rFonts w:ascii="Futura Bk" w:eastAsia="Futura Bk" w:hAnsi="Futura Bk" w:hint="eastAsia"/>
          <w:snapToGrid w:val="0"/>
          <w:spacing w:val="0"/>
        </w:rPr>
        <w:t>响应文件的初审：</w:t>
      </w:r>
    </w:p>
    <w:p w14:paraId="3356D597" w14:textId="77777777" w:rsidR="00EF6091" w:rsidRDefault="00000000">
      <w:pPr>
        <w:tabs>
          <w:tab w:val="left" w:pos="930"/>
          <w:tab w:val="left" w:pos="1260"/>
        </w:tabs>
        <w:spacing w:line="360" w:lineRule="auto"/>
        <w:ind w:left="420"/>
        <w:rPr>
          <w:rFonts w:ascii="Futura Bk" w:eastAsia="Futura Bk" w:hAnsi="Futura Bk"/>
          <w:snapToGrid w:val="0"/>
          <w:kern w:val="0"/>
          <w:sz w:val="24"/>
          <w:lang w:val="en-GB"/>
        </w:rPr>
      </w:pPr>
      <w:r>
        <w:rPr>
          <w:rFonts w:ascii="Futura Bk" w:eastAsia="Futura Bk" w:hAnsi="Futura Bk" w:hint="eastAsia"/>
          <w:snapToGrid w:val="0"/>
          <w:kern w:val="0"/>
          <w:sz w:val="24"/>
        </w:rPr>
        <w:t>（1）评选小组将依法审查响应文件是否完整、总体编排是否有序、文件签署是否合格、是否按</w:t>
      </w:r>
      <w:r>
        <w:rPr>
          <w:rFonts w:ascii="Futura Bk" w:eastAsia="Futura Bk" w:hAnsi="Futura Bk" w:hint="eastAsia"/>
          <w:bCs/>
          <w:snapToGrid w:val="0"/>
          <w:kern w:val="0"/>
          <w:sz w:val="24"/>
          <w:lang w:val="en-GB"/>
        </w:rPr>
        <w:t>采购文件</w:t>
      </w:r>
      <w:r>
        <w:rPr>
          <w:rFonts w:ascii="Futura Bk" w:eastAsia="Futura Bk" w:hAnsi="Futura Bk" w:hint="eastAsia"/>
          <w:snapToGrid w:val="0"/>
          <w:kern w:val="0"/>
          <w:sz w:val="24"/>
        </w:rPr>
        <w:t>的规定制作响应文件等。</w:t>
      </w:r>
    </w:p>
    <w:p w14:paraId="1CE1EDD3" w14:textId="77777777" w:rsidR="00EF6091" w:rsidRDefault="00000000">
      <w:pPr>
        <w:tabs>
          <w:tab w:val="left" w:pos="930"/>
          <w:tab w:val="left" w:pos="1260"/>
        </w:tabs>
        <w:spacing w:line="360" w:lineRule="auto"/>
        <w:ind w:left="420"/>
        <w:rPr>
          <w:rFonts w:ascii="Futura Bk" w:eastAsia="Futura Bk" w:hAnsi="Futura Bk"/>
          <w:snapToGrid w:val="0"/>
          <w:kern w:val="0"/>
          <w:sz w:val="24"/>
        </w:rPr>
      </w:pPr>
      <w:r>
        <w:rPr>
          <w:rFonts w:ascii="Futura Bk" w:eastAsia="Futura Bk" w:hAnsi="Futura Bk" w:hint="eastAsia"/>
          <w:snapToGrid w:val="0"/>
          <w:kern w:val="0"/>
          <w:sz w:val="24"/>
        </w:rPr>
        <w:t>（2）资格性审查：根据国家行业法规和采购文件的规定，对响应文件中的资格证明等进行审查，以确定供应商是否具备准入资格。</w:t>
      </w:r>
    </w:p>
    <w:p w14:paraId="4ECDC9D6" w14:textId="77777777" w:rsidR="00EF6091" w:rsidRDefault="00000000">
      <w:pPr>
        <w:tabs>
          <w:tab w:val="left" w:pos="930"/>
          <w:tab w:val="left" w:pos="1260"/>
        </w:tabs>
        <w:spacing w:line="360" w:lineRule="auto"/>
        <w:ind w:left="420"/>
        <w:rPr>
          <w:rFonts w:ascii="Futura Bk" w:eastAsia="Futura Bk" w:hAnsi="Futura Bk"/>
          <w:snapToGrid w:val="0"/>
          <w:kern w:val="0"/>
          <w:sz w:val="24"/>
        </w:rPr>
      </w:pPr>
      <w:r>
        <w:rPr>
          <w:rFonts w:ascii="Futura Bk" w:eastAsia="Futura Bk" w:hAnsi="Futura Bk" w:hint="eastAsia"/>
          <w:snapToGrid w:val="0"/>
          <w:kern w:val="0"/>
          <w:sz w:val="24"/>
        </w:rPr>
        <w:t>（3）符合性审查：依照采购文件的规定，从响应文件的有效性、完整性、技术可行性分析评估和对采购文件技术服务、商务的响应程度进行审查，以确定是否对采购文件的实质性要求</w:t>
      </w:r>
      <w:proofErr w:type="gramStart"/>
      <w:r>
        <w:rPr>
          <w:rFonts w:ascii="Futura Bk" w:eastAsia="Futura Bk" w:hAnsi="Futura Bk" w:hint="eastAsia"/>
          <w:snapToGrid w:val="0"/>
          <w:kern w:val="0"/>
          <w:sz w:val="24"/>
        </w:rPr>
        <w:t>作出</w:t>
      </w:r>
      <w:proofErr w:type="gramEnd"/>
      <w:r>
        <w:rPr>
          <w:rFonts w:ascii="Futura Bk" w:eastAsia="Futura Bk" w:hAnsi="Futura Bk" w:hint="eastAsia"/>
          <w:snapToGrid w:val="0"/>
          <w:kern w:val="0"/>
          <w:sz w:val="24"/>
        </w:rPr>
        <w:t>响应。</w:t>
      </w:r>
    </w:p>
    <w:p w14:paraId="202E0F73" w14:textId="77777777" w:rsidR="00EF6091" w:rsidRDefault="00000000">
      <w:pPr>
        <w:pStyle w:val="a5"/>
        <w:numPr>
          <w:ilvl w:val="0"/>
          <w:numId w:val="5"/>
        </w:numPr>
        <w:tabs>
          <w:tab w:val="left" w:pos="0"/>
          <w:tab w:val="left" w:pos="567"/>
        </w:tabs>
        <w:spacing w:before="0" w:after="0" w:line="360" w:lineRule="auto"/>
        <w:ind w:left="567" w:hanging="567"/>
        <w:jc w:val="both"/>
        <w:rPr>
          <w:rFonts w:ascii="Futura Bk" w:eastAsia="Futura Bk" w:hAnsi="Futura Bk"/>
          <w:snapToGrid w:val="0"/>
          <w:spacing w:val="0"/>
          <w:lang w:val="en-GB"/>
        </w:rPr>
      </w:pPr>
      <w:r>
        <w:rPr>
          <w:rFonts w:ascii="Futura Bk" w:eastAsia="Futura Bk" w:hAnsi="Futura Bk" w:hint="eastAsia"/>
          <w:snapToGrid w:val="0"/>
          <w:spacing w:val="0"/>
          <w:lang w:val="en-GB"/>
        </w:rPr>
        <w:t>资格性审查和符合性审查由评选小组以记名方式独立表决，并以少数服从多数的原则确定审查结果。被认定为响应文件审查不通过时，评选小组应当现场告知当事人。审查不通过的响应文件按无效报价处理，将不进入下一程序。</w:t>
      </w:r>
    </w:p>
    <w:p w14:paraId="5C590719" w14:textId="77777777" w:rsidR="00EF6091" w:rsidRDefault="00000000">
      <w:pPr>
        <w:pStyle w:val="a5"/>
        <w:numPr>
          <w:ilvl w:val="0"/>
          <w:numId w:val="5"/>
        </w:numPr>
        <w:tabs>
          <w:tab w:val="left" w:pos="0"/>
          <w:tab w:val="left" w:pos="567"/>
        </w:tabs>
        <w:spacing w:before="0" w:after="0" w:line="360" w:lineRule="auto"/>
        <w:ind w:left="567" w:hanging="567"/>
        <w:jc w:val="both"/>
        <w:rPr>
          <w:rFonts w:ascii="Futura Bk" w:eastAsia="Futura Bk" w:hAnsi="Futura Bk"/>
          <w:snapToGrid w:val="0"/>
          <w:spacing w:val="0"/>
          <w:lang w:val="en-GB"/>
        </w:rPr>
      </w:pPr>
      <w:r>
        <w:rPr>
          <w:rFonts w:ascii="Futura Bk" w:eastAsia="Futura Bk" w:hAnsi="Futura Bk" w:hint="eastAsia"/>
          <w:bCs w:val="0"/>
          <w:snapToGrid w:val="0"/>
          <w:spacing w:val="0"/>
          <w:lang w:val="en-GB"/>
        </w:rPr>
        <w:t>评选小组在对响应文件的有效性、完整性和响应程度进行审查时，可以要求供应商对响应文件中含义不明确、对同类问题表述不一致或有明显文字和计算错误的内容，可要求供应商在限定时间内</w:t>
      </w:r>
      <w:proofErr w:type="gramStart"/>
      <w:r>
        <w:rPr>
          <w:rFonts w:ascii="Futura Bk" w:eastAsia="Futura Bk" w:hAnsi="Futura Bk" w:hint="eastAsia"/>
          <w:bCs w:val="0"/>
          <w:snapToGrid w:val="0"/>
          <w:spacing w:val="0"/>
          <w:lang w:val="en-GB"/>
        </w:rPr>
        <w:t>作出</w:t>
      </w:r>
      <w:proofErr w:type="gramEnd"/>
      <w:r>
        <w:rPr>
          <w:rFonts w:ascii="Futura Bk" w:eastAsia="Futura Bk" w:hAnsi="Futura Bk" w:hint="eastAsia"/>
          <w:bCs w:val="0"/>
          <w:snapToGrid w:val="0"/>
          <w:spacing w:val="0"/>
          <w:lang w:val="en-GB"/>
        </w:rPr>
        <w:t>必要的澄清、说明或补正。供应商澄清、说明或补正的内容不得超出响应文件的范围或改变响应文件的实质内容，均以书面形式为准，</w:t>
      </w:r>
      <w:proofErr w:type="gramStart"/>
      <w:r>
        <w:rPr>
          <w:rFonts w:ascii="Futura Bk" w:eastAsia="Futura Bk" w:hAnsi="Futura Bk" w:hint="eastAsia"/>
          <w:bCs w:val="0"/>
          <w:snapToGrid w:val="0"/>
          <w:spacing w:val="0"/>
          <w:lang w:val="en-GB"/>
        </w:rPr>
        <w:t>经供应商法定</w:t>
      </w:r>
      <w:proofErr w:type="gramEnd"/>
      <w:r>
        <w:rPr>
          <w:rFonts w:ascii="Futura Bk" w:eastAsia="Futura Bk" w:hAnsi="Futura Bk" w:hint="eastAsia"/>
          <w:bCs w:val="0"/>
          <w:snapToGrid w:val="0"/>
          <w:spacing w:val="0"/>
          <w:lang w:val="en-GB"/>
        </w:rPr>
        <w:t>代表人或授权代表</w:t>
      </w:r>
      <w:r>
        <w:rPr>
          <w:rFonts w:ascii="Futura Bk" w:eastAsia="Futura Bk" w:hAnsi="Futura Bk" w:hint="eastAsia"/>
          <w:bCs w:val="0"/>
          <w:snapToGrid w:val="0"/>
          <w:spacing w:val="0"/>
          <w:lang w:val="en-GB"/>
        </w:rPr>
        <w:lastRenderedPageBreak/>
        <w:t>签署后将作为响应文件不可分割的内容。</w:t>
      </w:r>
    </w:p>
    <w:p w14:paraId="0BC69A88" w14:textId="77777777" w:rsidR="00EF6091" w:rsidRDefault="00000000">
      <w:pPr>
        <w:pStyle w:val="a5"/>
        <w:numPr>
          <w:ilvl w:val="0"/>
          <w:numId w:val="4"/>
        </w:numPr>
        <w:spacing w:before="0" w:after="0" w:line="360" w:lineRule="auto"/>
        <w:jc w:val="both"/>
        <w:rPr>
          <w:rFonts w:ascii="Futura Bk" w:eastAsia="Futura Bk" w:hAnsi="Futura Bk"/>
          <w:b/>
          <w:snapToGrid w:val="0"/>
          <w:spacing w:val="0"/>
        </w:rPr>
      </w:pPr>
      <w:proofErr w:type="spellStart"/>
      <w:r>
        <w:rPr>
          <w:rFonts w:ascii="Futura Bk" w:eastAsia="Futura Bk" w:hAnsi="Futura Bk" w:hint="eastAsia"/>
          <w:b/>
          <w:bCs w:val="0"/>
          <w:snapToGrid w:val="0"/>
          <w:spacing w:val="0"/>
          <w:lang w:val="en-GB" w:eastAsia="en-GB"/>
        </w:rPr>
        <w:t>磋商评审</w:t>
      </w:r>
      <w:proofErr w:type="spellEnd"/>
      <w:r>
        <w:rPr>
          <w:rFonts w:ascii="Futura Bk" w:eastAsia="Futura Bk" w:hAnsi="Futura Bk" w:hint="eastAsia"/>
          <w:b/>
          <w:bCs w:val="0"/>
          <w:snapToGrid w:val="0"/>
          <w:spacing w:val="0"/>
          <w:lang w:val="en-GB"/>
        </w:rPr>
        <w:t>：</w:t>
      </w:r>
    </w:p>
    <w:p w14:paraId="739B8469" w14:textId="77777777" w:rsidR="00EF6091" w:rsidRDefault="00000000">
      <w:pPr>
        <w:numPr>
          <w:ilvl w:val="1"/>
          <w:numId w:val="6"/>
        </w:numPr>
        <w:tabs>
          <w:tab w:val="left" w:pos="0"/>
          <w:tab w:val="left" w:pos="567"/>
        </w:tabs>
        <w:spacing w:line="360" w:lineRule="auto"/>
        <w:ind w:left="567" w:hanging="567"/>
        <w:rPr>
          <w:rFonts w:ascii="Futura Bk" w:eastAsia="Futura Bk" w:hAnsi="Futura Bk"/>
          <w:bCs/>
          <w:snapToGrid w:val="0"/>
          <w:kern w:val="0"/>
          <w:sz w:val="24"/>
          <w:lang w:val="en-GB"/>
        </w:rPr>
      </w:pPr>
      <w:r>
        <w:rPr>
          <w:rFonts w:ascii="Futura Bk" w:eastAsia="Futura Bk" w:hAnsi="Futura Bk" w:hint="eastAsia"/>
          <w:bCs/>
          <w:snapToGrid w:val="0"/>
          <w:kern w:val="0"/>
          <w:sz w:val="24"/>
          <w:lang w:val="en-GB"/>
        </w:rPr>
        <w:t>评选小组与响应文件审查通过的供应商进行磋商，供应商的法定代表人或授权代表应听从安排，</w:t>
      </w:r>
      <w:proofErr w:type="gramStart"/>
      <w:r>
        <w:rPr>
          <w:rFonts w:ascii="Futura Bk" w:eastAsia="Futura Bk" w:hAnsi="Futura Bk" w:hint="eastAsia"/>
          <w:bCs/>
          <w:snapToGrid w:val="0"/>
          <w:kern w:val="0"/>
          <w:sz w:val="24"/>
          <w:lang w:val="en-GB"/>
        </w:rPr>
        <w:t>轮侯出席</w:t>
      </w:r>
      <w:proofErr w:type="gramEnd"/>
      <w:r>
        <w:rPr>
          <w:rFonts w:ascii="Futura Bk" w:eastAsia="Futura Bk" w:hAnsi="Futura Bk" w:hint="eastAsia"/>
          <w:bCs/>
          <w:snapToGrid w:val="0"/>
          <w:kern w:val="0"/>
          <w:sz w:val="24"/>
          <w:lang w:val="en-GB"/>
        </w:rPr>
        <w:t>磋商。</w:t>
      </w:r>
    </w:p>
    <w:p w14:paraId="321C67A7" w14:textId="77777777" w:rsidR="00EF6091" w:rsidRDefault="00000000">
      <w:pPr>
        <w:numPr>
          <w:ilvl w:val="1"/>
          <w:numId w:val="6"/>
        </w:numPr>
        <w:tabs>
          <w:tab w:val="left" w:pos="0"/>
          <w:tab w:val="left" w:pos="567"/>
        </w:tabs>
        <w:spacing w:line="360" w:lineRule="auto"/>
        <w:ind w:left="567" w:hanging="567"/>
        <w:rPr>
          <w:rFonts w:ascii="Futura Bk" w:eastAsia="Futura Bk" w:hAnsi="Futura Bk"/>
          <w:bCs/>
          <w:snapToGrid w:val="0"/>
          <w:kern w:val="0"/>
          <w:sz w:val="24"/>
          <w:lang w:val="en-GB"/>
        </w:rPr>
      </w:pPr>
      <w:r>
        <w:rPr>
          <w:rFonts w:ascii="Futura Bk" w:eastAsia="Futura Bk" w:hAnsi="Futura Bk" w:hint="eastAsia"/>
          <w:bCs/>
          <w:snapToGrid w:val="0"/>
          <w:kern w:val="0"/>
          <w:sz w:val="24"/>
          <w:lang w:val="en-GB"/>
        </w:rPr>
        <w:t>在磋商过程中，评选小组可以根据采购文件和磋商情况实质性变动采购需求中的技术服务、商务要求以及合同范本条款，但不得变动采购文件的其他内容或已明确不允许实质性变动的内容及最低要求。实质性变动的内容须经采购人代表确认后，作为采购文件的有效组成部分，并以书面形式同时通知所有参加磋商的供应商。</w:t>
      </w:r>
    </w:p>
    <w:p w14:paraId="52620E21" w14:textId="77777777" w:rsidR="00EF6091" w:rsidRDefault="00000000">
      <w:pPr>
        <w:numPr>
          <w:ilvl w:val="1"/>
          <w:numId w:val="6"/>
        </w:numPr>
        <w:tabs>
          <w:tab w:val="left" w:pos="0"/>
          <w:tab w:val="left" w:pos="567"/>
        </w:tabs>
        <w:spacing w:line="360" w:lineRule="auto"/>
        <w:ind w:left="567" w:hanging="567"/>
        <w:rPr>
          <w:rFonts w:ascii="Futura Bk" w:eastAsia="Futura Bk" w:hAnsi="Futura Bk"/>
          <w:bCs/>
          <w:snapToGrid w:val="0"/>
          <w:kern w:val="0"/>
          <w:sz w:val="24"/>
          <w:lang w:val="en-GB"/>
        </w:rPr>
      </w:pPr>
      <w:r>
        <w:rPr>
          <w:rFonts w:ascii="Futura Bk" w:eastAsia="Futura Bk" w:hAnsi="Futura Bk" w:hint="eastAsia"/>
          <w:bCs/>
          <w:snapToGrid w:val="0"/>
          <w:kern w:val="0"/>
          <w:sz w:val="24"/>
          <w:lang w:val="en-GB"/>
        </w:rPr>
        <w:t>评选小组对采购文件有变动的，供应商应当按照采购文件的变动情况和评选小组的要求重新提交响应文件，并由其法定代表人或授权代表签字或者加盖公章，其现场所确认的文件均代表供应商的真实意愿和决定，并作为响应文件的补充内容具有不可撤消更改的法律效力。</w:t>
      </w:r>
    </w:p>
    <w:p w14:paraId="0EB21D1E" w14:textId="77777777" w:rsidR="00EF6091" w:rsidRDefault="00000000">
      <w:pPr>
        <w:numPr>
          <w:ilvl w:val="1"/>
          <w:numId w:val="6"/>
        </w:numPr>
        <w:tabs>
          <w:tab w:val="left" w:pos="0"/>
          <w:tab w:val="left" w:pos="567"/>
        </w:tabs>
        <w:spacing w:line="360" w:lineRule="auto"/>
        <w:ind w:left="567" w:hanging="567"/>
        <w:rPr>
          <w:rFonts w:ascii="Futura Bk" w:eastAsia="Futura Bk" w:hAnsi="Futura Bk"/>
          <w:bCs/>
          <w:snapToGrid w:val="0"/>
          <w:kern w:val="0"/>
          <w:sz w:val="24"/>
          <w:lang w:val="en-GB"/>
        </w:rPr>
      </w:pPr>
      <w:r>
        <w:rPr>
          <w:rFonts w:ascii="Futura Bk" w:eastAsia="Futura Bk" w:hAnsi="Futura Bk" w:hint="eastAsia"/>
          <w:bCs/>
          <w:snapToGrid w:val="0"/>
          <w:kern w:val="0"/>
          <w:sz w:val="24"/>
          <w:lang w:val="en-GB"/>
        </w:rPr>
        <w:t>磋商结束后，评选小组将召集所有继续参加磋商且对采购文件</w:t>
      </w:r>
      <w:proofErr w:type="gramStart"/>
      <w:r>
        <w:rPr>
          <w:rFonts w:ascii="Futura Bk" w:eastAsia="Futura Bk" w:hAnsi="Futura Bk" w:hint="eastAsia"/>
          <w:bCs/>
          <w:snapToGrid w:val="0"/>
          <w:kern w:val="0"/>
          <w:sz w:val="24"/>
          <w:lang w:val="en-GB"/>
        </w:rPr>
        <w:t>作出</w:t>
      </w:r>
      <w:proofErr w:type="gramEnd"/>
      <w:r>
        <w:rPr>
          <w:rFonts w:ascii="Futura Bk" w:eastAsia="Futura Bk" w:hAnsi="Futura Bk" w:hint="eastAsia"/>
          <w:bCs/>
          <w:snapToGrid w:val="0"/>
          <w:kern w:val="0"/>
          <w:sz w:val="24"/>
          <w:lang w:val="en-GB"/>
        </w:rPr>
        <w:t>实质性响应的供应商进行最后报价。在</w:t>
      </w:r>
      <w:proofErr w:type="gramStart"/>
      <w:r>
        <w:rPr>
          <w:rFonts w:ascii="Futura Bk" w:eastAsia="Futura Bk" w:hAnsi="Futura Bk" w:hint="eastAsia"/>
          <w:bCs/>
          <w:snapToGrid w:val="0"/>
          <w:kern w:val="0"/>
          <w:sz w:val="24"/>
          <w:lang w:val="en-GB"/>
        </w:rPr>
        <w:t>作出</w:t>
      </w:r>
      <w:proofErr w:type="gramEnd"/>
      <w:r>
        <w:rPr>
          <w:rFonts w:ascii="Futura Bk" w:eastAsia="Futura Bk" w:hAnsi="Futura Bk" w:hint="eastAsia"/>
          <w:bCs/>
          <w:snapToGrid w:val="0"/>
          <w:kern w:val="0"/>
          <w:sz w:val="24"/>
          <w:lang w:val="en-GB"/>
        </w:rPr>
        <w:t>最后报价之前，集中现场公布实质性响应采购文件的供应商的初次报价。</w:t>
      </w:r>
    </w:p>
    <w:p w14:paraId="18217A65" w14:textId="77777777" w:rsidR="00EF6091" w:rsidRDefault="00000000">
      <w:pPr>
        <w:numPr>
          <w:ilvl w:val="1"/>
          <w:numId w:val="6"/>
        </w:numPr>
        <w:tabs>
          <w:tab w:val="left" w:pos="0"/>
          <w:tab w:val="left" w:pos="567"/>
        </w:tabs>
        <w:spacing w:line="360" w:lineRule="auto"/>
        <w:ind w:left="567" w:hanging="567"/>
        <w:rPr>
          <w:rFonts w:ascii="Futura Bk" w:eastAsia="Futura Bk" w:hAnsi="Futura Bk"/>
          <w:bCs/>
          <w:snapToGrid w:val="0"/>
          <w:kern w:val="0"/>
          <w:sz w:val="24"/>
          <w:lang w:val="en-GB"/>
        </w:rPr>
      </w:pPr>
      <w:r>
        <w:rPr>
          <w:rFonts w:ascii="Futura Bk" w:eastAsia="Futura Bk" w:hAnsi="Futura Bk" w:hint="eastAsia"/>
          <w:bCs/>
          <w:snapToGrid w:val="0"/>
          <w:kern w:val="0"/>
          <w:sz w:val="24"/>
          <w:lang w:val="en-GB"/>
        </w:rPr>
        <w:t>最后报价在规定的时间内现场封闭式进行，一般情况下最后报价不得高于初次报价，但评选小组对采购文件</w:t>
      </w:r>
      <w:proofErr w:type="gramStart"/>
      <w:r>
        <w:rPr>
          <w:rFonts w:ascii="Futura Bk" w:eastAsia="Futura Bk" w:hAnsi="Futura Bk" w:hint="eastAsia"/>
          <w:bCs/>
          <w:snapToGrid w:val="0"/>
          <w:kern w:val="0"/>
          <w:sz w:val="24"/>
          <w:lang w:val="en-GB"/>
        </w:rPr>
        <w:t>作出</w:t>
      </w:r>
      <w:proofErr w:type="gramEnd"/>
      <w:r>
        <w:rPr>
          <w:rFonts w:ascii="Futura Bk" w:eastAsia="Futura Bk" w:hAnsi="Futura Bk" w:hint="eastAsia"/>
          <w:bCs/>
          <w:snapToGrid w:val="0"/>
          <w:kern w:val="0"/>
          <w:sz w:val="24"/>
          <w:lang w:val="en-GB"/>
        </w:rPr>
        <w:t>可能影响报价的实质性变动时，经评选小组同意的情形除外。各供应商的最后报价将现场公开，并由供应商和评选小组签名确认。</w:t>
      </w:r>
    </w:p>
    <w:p w14:paraId="3C36A10F" w14:textId="77777777" w:rsidR="00EF6091" w:rsidRDefault="00000000">
      <w:pPr>
        <w:pStyle w:val="a5"/>
        <w:numPr>
          <w:ilvl w:val="0"/>
          <w:numId w:val="4"/>
        </w:numPr>
        <w:spacing w:before="0" w:after="0" w:line="360" w:lineRule="auto"/>
        <w:jc w:val="both"/>
        <w:rPr>
          <w:rFonts w:ascii="Futura Bk" w:eastAsia="Futura Bk" w:hAnsi="Futura Bk"/>
          <w:snapToGrid w:val="0"/>
          <w:spacing w:val="0"/>
          <w:lang w:val="en-GB"/>
        </w:rPr>
      </w:pPr>
      <w:r>
        <w:rPr>
          <w:rFonts w:ascii="Futura Bk" w:eastAsia="Futura Bk" w:hAnsi="Futura Bk" w:hint="eastAsia"/>
          <w:b/>
          <w:bCs w:val="0"/>
          <w:snapToGrid w:val="0"/>
          <w:spacing w:val="0"/>
          <w:lang w:val="en-GB"/>
        </w:rPr>
        <w:t>综合评分：</w:t>
      </w:r>
      <w:r>
        <w:rPr>
          <w:rFonts w:ascii="Futura Bk" w:eastAsia="Futura Bk" w:hAnsi="Futura Bk" w:hint="eastAsia"/>
          <w:snapToGrid w:val="0"/>
          <w:spacing w:val="0"/>
          <w:lang w:val="en-GB"/>
        </w:rPr>
        <w:t>经磋商后，由评选小组采用综合评分法对提交最后报价的供应商的响应文件和最后报价进行综合评审。</w:t>
      </w:r>
    </w:p>
    <w:p w14:paraId="182044B4" w14:textId="77777777" w:rsidR="00EF6091" w:rsidRDefault="00000000">
      <w:pPr>
        <w:pStyle w:val="a5"/>
        <w:numPr>
          <w:ilvl w:val="0"/>
          <w:numId w:val="4"/>
        </w:numPr>
        <w:spacing w:before="0" w:after="0" w:line="360" w:lineRule="auto"/>
        <w:jc w:val="both"/>
        <w:rPr>
          <w:rFonts w:ascii="Futura Bk" w:eastAsia="Futura Bk" w:hAnsi="Futura Bk"/>
          <w:snapToGrid w:val="0"/>
          <w:spacing w:val="0"/>
          <w:lang w:val="en-GB"/>
        </w:rPr>
      </w:pPr>
      <w:r>
        <w:rPr>
          <w:rFonts w:ascii="Futura Bk" w:eastAsia="Futura Bk" w:hAnsi="Futura Bk" w:hint="eastAsia"/>
          <w:b/>
          <w:snapToGrid w:val="0"/>
          <w:spacing w:val="0"/>
          <w:lang w:val="en-GB"/>
        </w:rPr>
        <w:t>推荐成交供应商：</w:t>
      </w:r>
      <w:r>
        <w:rPr>
          <w:rFonts w:ascii="Futura Bk" w:eastAsia="Futura Bk" w:hAnsi="Futura Bk" w:hint="eastAsia"/>
          <w:snapToGrid w:val="0"/>
          <w:spacing w:val="0"/>
          <w:lang w:val="en-GB"/>
        </w:rPr>
        <w:t>经评选小组审核和磋商，并进行综合评审后，根据综合评审情况，按照评审得分由高到低顺序推荐得分最高的供应商为成交供应商。评审得分相同的，依次序分别以最后报价、技术服务评价、商务评价的优劣顺序推荐。</w:t>
      </w:r>
    </w:p>
    <w:p w14:paraId="6D5608F8" w14:textId="77777777" w:rsidR="00EF6091" w:rsidRDefault="00000000">
      <w:pPr>
        <w:pStyle w:val="a5"/>
        <w:numPr>
          <w:ilvl w:val="0"/>
          <w:numId w:val="4"/>
        </w:numPr>
        <w:spacing w:before="0" w:after="0" w:line="360" w:lineRule="auto"/>
        <w:jc w:val="both"/>
        <w:rPr>
          <w:rFonts w:ascii="Futura Bk" w:eastAsia="Futura Bk" w:hAnsi="Futura Bk"/>
          <w:bCs w:val="0"/>
          <w:snapToGrid w:val="0"/>
          <w:spacing w:val="0"/>
          <w:lang w:val="en-GB"/>
        </w:rPr>
      </w:pPr>
      <w:r>
        <w:rPr>
          <w:rFonts w:ascii="Futura Bk" w:eastAsia="Futura Bk" w:hAnsi="Futura Bk" w:hint="eastAsia"/>
          <w:bCs w:val="0"/>
          <w:snapToGrid w:val="0"/>
          <w:spacing w:val="0"/>
          <w:lang w:val="en-GB"/>
        </w:rPr>
        <w:t>供应商提供的文件必须真实、充分、全面。评选小组仅对供应商提交的文件进行表面真实性的审核，在评审过程中乃至成交后，如发现供应商所提供的上述材料不合法或不真实，将取消其成交资格并追究其法律责任。</w:t>
      </w:r>
    </w:p>
    <w:p w14:paraId="6791F340" w14:textId="77777777" w:rsidR="00EF6091" w:rsidRDefault="00000000">
      <w:pPr>
        <w:pStyle w:val="a5"/>
        <w:numPr>
          <w:ilvl w:val="0"/>
          <w:numId w:val="4"/>
        </w:numPr>
        <w:spacing w:before="0" w:after="0" w:line="360" w:lineRule="auto"/>
        <w:jc w:val="both"/>
        <w:rPr>
          <w:rFonts w:ascii="Futura Bk" w:eastAsia="Futura Bk" w:hAnsi="Futura Bk"/>
          <w:bCs w:val="0"/>
          <w:snapToGrid w:val="0"/>
          <w:spacing w:val="0"/>
          <w:lang w:val="en-GB"/>
        </w:rPr>
      </w:pPr>
      <w:r>
        <w:rPr>
          <w:rFonts w:ascii="Futura Bk" w:eastAsia="Futura Bk" w:hAnsi="Futura Bk" w:hint="eastAsia"/>
          <w:bCs w:val="0"/>
          <w:snapToGrid w:val="0"/>
          <w:spacing w:val="0"/>
          <w:lang w:val="en-GB"/>
        </w:rPr>
        <w:lastRenderedPageBreak/>
        <w:t>除非采购文件中有明确规定，评选小组判断响应文件的有效性、合格性和响应情况，仅依靠供应商最基本的商业诚信和所递交一切文件资料的真实表述，</w:t>
      </w:r>
      <w:proofErr w:type="gramStart"/>
      <w:r>
        <w:rPr>
          <w:rFonts w:ascii="Futura Bk" w:eastAsia="Futura Bk" w:hAnsi="Futura Bk" w:hint="eastAsia"/>
          <w:bCs w:val="0"/>
          <w:snapToGrid w:val="0"/>
          <w:spacing w:val="0"/>
          <w:lang w:val="en-GB"/>
        </w:rPr>
        <w:t>不</w:t>
      </w:r>
      <w:proofErr w:type="gramEnd"/>
      <w:r>
        <w:rPr>
          <w:rFonts w:ascii="Futura Bk" w:eastAsia="Futura Bk" w:hAnsi="Futura Bk" w:hint="eastAsia"/>
          <w:bCs w:val="0"/>
          <w:snapToGrid w:val="0"/>
          <w:spacing w:val="0"/>
          <w:lang w:val="en-GB"/>
        </w:rPr>
        <w:t>额外主动寻求外部证据，不受与本项目无直接关联的外部信息、传言而影响自身的专业判断。</w:t>
      </w:r>
    </w:p>
    <w:p w14:paraId="66B351EA" w14:textId="77777777" w:rsidR="00EF6091" w:rsidRDefault="00000000">
      <w:pPr>
        <w:pStyle w:val="a5"/>
        <w:numPr>
          <w:ilvl w:val="0"/>
          <w:numId w:val="4"/>
        </w:numPr>
        <w:spacing w:before="0" w:after="0" w:line="360" w:lineRule="auto"/>
        <w:jc w:val="both"/>
        <w:rPr>
          <w:rFonts w:ascii="Futura Bk" w:eastAsia="Futura Bk" w:hAnsi="Futura Bk"/>
          <w:bCs w:val="0"/>
          <w:snapToGrid w:val="0"/>
          <w:spacing w:val="0"/>
          <w:lang w:val="en-GB"/>
        </w:rPr>
      </w:pPr>
      <w:r>
        <w:rPr>
          <w:rFonts w:ascii="Futura Bk" w:eastAsia="Futura Bk" w:hAnsi="Futura Bk" w:hint="eastAsia"/>
          <w:bCs w:val="0"/>
          <w:snapToGrid w:val="0"/>
          <w:spacing w:val="0"/>
          <w:lang w:val="en-GB"/>
        </w:rPr>
        <w:t>供应</w:t>
      </w:r>
      <w:proofErr w:type="gramStart"/>
      <w:r>
        <w:rPr>
          <w:rFonts w:ascii="Futura Bk" w:eastAsia="Futura Bk" w:hAnsi="Futura Bk" w:hint="eastAsia"/>
          <w:bCs w:val="0"/>
          <w:snapToGrid w:val="0"/>
          <w:spacing w:val="0"/>
          <w:lang w:val="en-GB"/>
        </w:rPr>
        <w:t>商法定</w:t>
      </w:r>
      <w:proofErr w:type="gramEnd"/>
      <w:r>
        <w:rPr>
          <w:rFonts w:ascii="Futura Bk" w:eastAsia="Futura Bk" w:hAnsi="Futura Bk" w:hint="eastAsia"/>
          <w:bCs w:val="0"/>
          <w:snapToGrid w:val="0"/>
          <w:spacing w:val="0"/>
          <w:lang w:val="en-GB"/>
        </w:rPr>
        <w:t>代表人或授权代表必须在规定时间内达到评选现场处理磋商相关事宜，对于在规定的合理时间内未能到达评选会现场的，该供应商将被视为自动</w:t>
      </w:r>
      <w:proofErr w:type="gramStart"/>
      <w:r>
        <w:rPr>
          <w:rFonts w:ascii="Futura Bk" w:eastAsia="Futura Bk" w:hAnsi="Futura Bk" w:hint="eastAsia"/>
          <w:bCs w:val="0"/>
          <w:snapToGrid w:val="0"/>
          <w:spacing w:val="0"/>
          <w:lang w:val="en-GB"/>
        </w:rPr>
        <w:t>放弃磋商</w:t>
      </w:r>
      <w:proofErr w:type="gramEnd"/>
      <w:r>
        <w:rPr>
          <w:rFonts w:ascii="Futura Bk" w:eastAsia="Futura Bk" w:hAnsi="Futura Bk" w:hint="eastAsia"/>
          <w:bCs w:val="0"/>
          <w:snapToGrid w:val="0"/>
          <w:spacing w:val="0"/>
          <w:lang w:val="en-GB"/>
        </w:rPr>
        <w:t>及报价。</w:t>
      </w:r>
    </w:p>
    <w:p w14:paraId="523B2D14" w14:textId="77777777" w:rsidR="00EF6091" w:rsidRDefault="00000000">
      <w:pPr>
        <w:pStyle w:val="a5"/>
        <w:numPr>
          <w:ilvl w:val="0"/>
          <w:numId w:val="4"/>
        </w:numPr>
        <w:spacing w:before="0" w:after="0" w:line="360" w:lineRule="auto"/>
        <w:jc w:val="both"/>
        <w:rPr>
          <w:rFonts w:ascii="Futura Bk" w:eastAsia="Futura Bk" w:hAnsi="Futura Bk"/>
          <w:bCs w:val="0"/>
          <w:snapToGrid w:val="0"/>
          <w:spacing w:val="0"/>
          <w:lang w:val="en-GB"/>
        </w:rPr>
      </w:pPr>
      <w:r>
        <w:rPr>
          <w:rFonts w:ascii="Futura Bk" w:eastAsia="Futura Bk" w:hAnsi="Futura Bk" w:hint="eastAsia"/>
          <w:bCs w:val="0"/>
          <w:snapToGrid w:val="0"/>
          <w:spacing w:val="0"/>
          <w:lang w:val="en-GB"/>
        </w:rPr>
        <w:t>各方当事人、评选小组成员如对采购文件、响应文件及相关补充文件的理解存有歧义时，评选小组可对这些文件向有关方面进行查证了解质询，通过集体讨论或表决达成一致处理意见。任何形式的决定，须以合法公正和有利于项目的安全顺利实施为前提。</w:t>
      </w:r>
    </w:p>
    <w:p w14:paraId="02047588" w14:textId="77777777" w:rsidR="00EF6091" w:rsidRDefault="00000000">
      <w:pPr>
        <w:pStyle w:val="a5"/>
        <w:numPr>
          <w:ilvl w:val="0"/>
          <w:numId w:val="4"/>
        </w:numPr>
        <w:spacing w:before="0" w:after="0" w:line="360" w:lineRule="auto"/>
        <w:jc w:val="both"/>
        <w:rPr>
          <w:rFonts w:ascii="Futura Bk" w:eastAsia="Futura Bk" w:hAnsi="Futura Bk"/>
          <w:bCs w:val="0"/>
          <w:snapToGrid w:val="0"/>
          <w:spacing w:val="0"/>
          <w:lang w:val="en-GB"/>
        </w:rPr>
      </w:pPr>
      <w:r>
        <w:rPr>
          <w:rFonts w:ascii="Futura Bk" w:eastAsia="Futura Bk" w:hAnsi="Futura Bk" w:hint="eastAsia"/>
          <w:bCs w:val="0"/>
          <w:snapToGrid w:val="0"/>
          <w:spacing w:val="0"/>
          <w:lang w:val="en-GB"/>
        </w:rPr>
        <w:t>若采购文件中要求提交同类项目业绩证明文件、客户验收报告、企业资质证书、人员资格证书、社会保险证明、产品检测报告等资料复印件，评选小组认为有必要时，可要求供应商在规定的时间内递交原件审核验证。供应商必须在规定的时间内向评选小组提交原件，否则，将有可能视为提交的文件资料不符合要求。</w:t>
      </w:r>
    </w:p>
    <w:p w14:paraId="70F9A596" w14:textId="77777777" w:rsidR="00EF6091" w:rsidRDefault="00000000">
      <w:pPr>
        <w:pStyle w:val="a5"/>
        <w:numPr>
          <w:ilvl w:val="0"/>
          <w:numId w:val="4"/>
        </w:numPr>
        <w:spacing w:before="0" w:after="0" w:line="360" w:lineRule="auto"/>
        <w:jc w:val="both"/>
        <w:rPr>
          <w:rFonts w:ascii="Futura Bk" w:eastAsia="Futura Bk" w:hAnsi="Futura Bk"/>
          <w:b/>
          <w:spacing w:val="0"/>
        </w:rPr>
      </w:pPr>
      <w:r>
        <w:rPr>
          <w:rFonts w:ascii="Futura Bk" w:eastAsia="Futura Bk" w:hAnsi="Futura Bk" w:hint="eastAsia"/>
          <w:b/>
          <w:spacing w:val="0"/>
        </w:rPr>
        <w:t>评审方法：综合评分法</w:t>
      </w:r>
    </w:p>
    <w:p w14:paraId="5F94B3D1" w14:textId="77777777" w:rsidR="00EF6091" w:rsidRDefault="00000000">
      <w:pPr>
        <w:tabs>
          <w:tab w:val="left" w:pos="-540"/>
        </w:tabs>
        <w:spacing w:line="360" w:lineRule="auto"/>
        <w:ind w:firstLineChars="200" w:firstLine="480"/>
        <w:rPr>
          <w:rFonts w:ascii="Futura Bk" w:eastAsia="Futura Bk" w:hAnsi="Futura Bk"/>
          <w:snapToGrid w:val="0"/>
          <w:kern w:val="0"/>
          <w:sz w:val="24"/>
        </w:rPr>
      </w:pPr>
      <w:r>
        <w:rPr>
          <w:rFonts w:ascii="Futura Bk" w:eastAsia="Futura Bk" w:hAnsi="Futura Bk" w:hint="eastAsia"/>
          <w:snapToGrid w:val="0"/>
          <w:kern w:val="0"/>
          <w:sz w:val="24"/>
          <w:lang w:val="en-GB"/>
        </w:rPr>
        <w:t>评选小组在供应</w:t>
      </w:r>
      <w:proofErr w:type="gramStart"/>
      <w:r>
        <w:rPr>
          <w:rFonts w:ascii="Futura Bk" w:eastAsia="Futura Bk" w:hAnsi="Futura Bk" w:hint="eastAsia"/>
          <w:snapToGrid w:val="0"/>
          <w:kern w:val="0"/>
          <w:sz w:val="24"/>
          <w:lang w:val="en-GB"/>
        </w:rPr>
        <w:t>商满足</w:t>
      </w:r>
      <w:proofErr w:type="gramEnd"/>
      <w:r>
        <w:rPr>
          <w:rFonts w:ascii="Futura Bk" w:eastAsia="Futura Bk" w:hAnsi="Futura Bk" w:hint="eastAsia"/>
          <w:snapToGrid w:val="0"/>
          <w:kern w:val="0"/>
          <w:sz w:val="24"/>
          <w:lang w:val="en-GB"/>
        </w:rPr>
        <w:t>采购文件实质性要求前提下，对供应商技术服务、商务、价格三部分进行综合评审和独立评分，以综合总得分从高到低的排名顺序，综合总得分排名前三名的供应商为成交供应商。</w:t>
      </w:r>
    </w:p>
    <w:p w14:paraId="07002C42" w14:textId="77777777" w:rsidR="00EF6091" w:rsidRDefault="00000000">
      <w:pPr>
        <w:tabs>
          <w:tab w:val="left" w:pos="-540"/>
        </w:tabs>
        <w:spacing w:line="360" w:lineRule="auto"/>
        <w:ind w:firstLineChars="200" w:firstLine="480"/>
        <w:rPr>
          <w:rFonts w:ascii="Futura Bk" w:eastAsia="Futura Bk" w:hAnsi="Futura Bk"/>
          <w:snapToGrid w:val="0"/>
          <w:kern w:val="0"/>
          <w:sz w:val="24"/>
          <w:lang w:val="en-GB"/>
        </w:rPr>
      </w:pPr>
      <w:r>
        <w:rPr>
          <w:rFonts w:ascii="Futura Bk" w:eastAsia="Futura Bk" w:hAnsi="Futura Bk" w:hint="eastAsia"/>
          <w:snapToGrid w:val="0"/>
          <w:kern w:val="0"/>
          <w:sz w:val="24"/>
          <w:lang w:val="en-GB"/>
        </w:rPr>
        <w:t>当综合评价总得分相同时，依次序分别以供应商的最后报价、技术服务部分、商务部</w:t>
      </w:r>
      <w:proofErr w:type="gramStart"/>
      <w:r>
        <w:rPr>
          <w:rFonts w:ascii="Futura Bk" w:eastAsia="Futura Bk" w:hAnsi="Futura Bk" w:hint="eastAsia"/>
          <w:snapToGrid w:val="0"/>
          <w:kern w:val="0"/>
          <w:sz w:val="24"/>
          <w:lang w:val="en-GB"/>
        </w:rPr>
        <w:t>分评价</w:t>
      </w:r>
      <w:proofErr w:type="gramEnd"/>
      <w:r>
        <w:rPr>
          <w:rFonts w:ascii="Futura Bk" w:eastAsia="Futura Bk" w:hAnsi="Futura Bk" w:hint="eastAsia"/>
          <w:snapToGrid w:val="0"/>
          <w:kern w:val="0"/>
          <w:sz w:val="24"/>
          <w:lang w:val="en-GB"/>
        </w:rPr>
        <w:t>的优劣，从中择优确定成交供应商。</w:t>
      </w:r>
    </w:p>
    <w:p w14:paraId="4E05C3FB" w14:textId="77777777" w:rsidR="00EF6091" w:rsidRDefault="00000000">
      <w:pPr>
        <w:pStyle w:val="a5"/>
        <w:spacing w:line="360" w:lineRule="auto"/>
        <w:ind w:firstLineChars="49" w:firstLine="128"/>
        <w:rPr>
          <w:rFonts w:ascii="Futura Bk" w:eastAsia="Futura Bk" w:hAnsi="Futura Bk"/>
          <w:b/>
          <w:shd w:val="clear" w:color="auto" w:fill="FFFFFF"/>
        </w:rPr>
      </w:pPr>
      <w:r>
        <w:rPr>
          <w:rFonts w:ascii="Futura Bk" w:eastAsia="Futura Bk" w:hAnsi="Futura Bk" w:hint="eastAsia"/>
          <w:b/>
          <w:shd w:val="clear" w:color="auto" w:fill="FFFFFF"/>
        </w:rPr>
        <w:t>13.1评分比重如下：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294"/>
        <w:gridCol w:w="1800"/>
        <w:gridCol w:w="1913"/>
      </w:tblGrid>
      <w:tr w:rsidR="00EF6091" w14:paraId="2397FE11" w14:textId="77777777">
        <w:trPr>
          <w:trHeight w:val="492"/>
          <w:jc w:val="center"/>
        </w:trPr>
        <w:tc>
          <w:tcPr>
            <w:tcW w:w="2137" w:type="dxa"/>
            <w:tcBorders>
              <w:bottom w:val="single" w:sz="4" w:space="0" w:color="auto"/>
            </w:tcBorders>
            <w:shd w:val="clear" w:color="auto" w:fill="F2F2F2"/>
            <w:vAlign w:val="center"/>
          </w:tcPr>
          <w:p w14:paraId="3F626335" w14:textId="77777777" w:rsidR="00EF6091" w:rsidRDefault="00000000">
            <w:pPr>
              <w:pStyle w:val="a5"/>
              <w:tabs>
                <w:tab w:val="center" w:pos="4153"/>
                <w:tab w:val="right" w:pos="8306"/>
              </w:tabs>
              <w:jc w:val="center"/>
              <w:rPr>
                <w:rFonts w:ascii="Futura Bk" w:eastAsia="Futura Bk" w:hAnsi="Futura Bk" w:cs="等线"/>
                <w:b/>
                <w:spacing w:val="0"/>
              </w:rPr>
            </w:pPr>
            <w:r>
              <w:rPr>
                <w:rFonts w:ascii="Futura Bk" w:eastAsia="Futura Bk" w:hAnsi="Futura Bk" w:cs="等线" w:hint="eastAsia"/>
                <w:b/>
                <w:spacing w:val="0"/>
              </w:rPr>
              <w:t>评分内容</w:t>
            </w:r>
          </w:p>
        </w:tc>
        <w:tc>
          <w:tcPr>
            <w:tcW w:w="2294" w:type="dxa"/>
            <w:tcBorders>
              <w:bottom w:val="single" w:sz="4" w:space="0" w:color="auto"/>
            </w:tcBorders>
            <w:shd w:val="clear" w:color="auto" w:fill="F2F2F2"/>
            <w:vAlign w:val="center"/>
          </w:tcPr>
          <w:p w14:paraId="0A3AB50B" w14:textId="77777777" w:rsidR="00EF6091" w:rsidRDefault="00000000">
            <w:pPr>
              <w:pStyle w:val="a5"/>
              <w:tabs>
                <w:tab w:val="center" w:pos="4153"/>
                <w:tab w:val="right" w:pos="8306"/>
              </w:tabs>
              <w:jc w:val="center"/>
              <w:rPr>
                <w:rFonts w:ascii="Futura Bk" w:eastAsia="Futura Bk" w:hAnsi="Futura Bk" w:cs="等线"/>
                <w:b/>
                <w:spacing w:val="0"/>
              </w:rPr>
            </w:pPr>
            <w:r>
              <w:rPr>
                <w:rFonts w:ascii="Futura Bk" w:eastAsia="Futura Bk" w:hAnsi="Futura Bk" w:cs="等线" w:hint="eastAsia"/>
                <w:b/>
                <w:spacing w:val="0"/>
              </w:rPr>
              <w:t>技术部分</w:t>
            </w:r>
          </w:p>
        </w:tc>
        <w:tc>
          <w:tcPr>
            <w:tcW w:w="1800" w:type="dxa"/>
            <w:tcBorders>
              <w:bottom w:val="single" w:sz="4" w:space="0" w:color="auto"/>
            </w:tcBorders>
            <w:shd w:val="clear" w:color="auto" w:fill="F2F2F2"/>
            <w:vAlign w:val="center"/>
          </w:tcPr>
          <w:p w14:paraId="31908549" w14:textId="77777777" w:rsidR="00EF6091" w:rsidRDefault="00000000">
            <w:pPr>
              <w:pStyle w:val="a5"/>
              <w:tabs>
                <w:tab w:val="center" w:pos="4153"/>
                <w:tab w:val="right" w:pos="8306"/>
              </w:tabs>
              <w:jc w:val="center"/>
              <w:rPr>
                <w:rFonts w:ascii="Futura Bk" w:eastAsia="Futura Bk" w:hAnsi="Futura Bk" w:cs="等线"/>
                <w:b/>
                <w:spacing w:val="0"/>
              </w:rPr>
            </w:pPr>
            <w:r>
              <w:rPr>
                <w:rFonts w:ascii="Futura Bk" w:eastAsia="Futura Bk" w:hAnsi="Futura Bk" w:cs="等线" w:hint="eastAsia"/>
                <w:b/>
                <w:spacing w:val="0"/>
              </w:rPr>
              <w:t>商务部分</w:t>
            </w:r>
          </w:p>
        </w:tc>
        <w:tc>
          <w:tcPr>
            <w:tcW w:w="1913" w:type="dxa"/>
            <w:tcBorders>
              <w:bottom w:val="single" w:sz="4" w:space="0" w:color="auto"/>
            </w:tcBorders>
            <w:shd w:val="clear" w:color="auto" w:fill="F2F2F2"/>
            <w:vAlign w:val="center"/>
          </w:tcPr>
          <w:p w14:paraId="07A5E99E" w14:textId="77777777" w:rsidR="00EF6091" w:rsidRDefault="00000000">
            <w:pPr>
              <w:pStyle w:val="a5"/>
              <w:tabs>
                <w:tab w:val="center" w:pos="4153"/>
                <w:tab w:val="right" w:pos="8306"/>
              </w:tabs>
              <w:jc w:val="center"/>
              <w:rPr>
                <w:rFonts w:ascii="Futura Bk" w:eastAsia="Futura Bk" w:hAnsi="Futura Bk" w:cs="等线"/>
                <w:b/>
                <w:spacing w:val="0"/>
              </w:rPr>
            </w:pPr>
            <w:r>
              <w:rPr>
                <w:rFonts w:ascii="Futura Bk" w:eastAsia="Futura Bk" w:hAnsi="Futura Bk" w:cs="等线" w:hint="eastAsia"/>
                <w:b/>
                <w:spacing w:val="0"/>
              </w:rPr>
              <w:t>价格部分</w:t>
            </w:r>
          </w:p>
        </w:tc>
      </w:tr>
      <w:tr w:rsidR="00EF6091" w14:paraId="52F089C5" w14:textId="77777777">
        <w:trPr>
          <w:trHeight w:val="556"/>
          <w:jc w:val="center"/>
        </w:trPr>
        <w:tc>
          <w:tcPr>
            <w:tcW w:w="2137" w:type="dxa"/>
            <w:shd w:val="clear" w:color="auto" w:fill="FFFF00"/>
            <w:vAlign w:val="center"/>
          </w:tcPr>
          <w:p w14:paraId="6DEBF5AC" w14:textId="77777777" w:rsidR="00EF6091" w:rsidRDefault="00000000">
            <w:pPr>
              <w:pStyle w:val="a5"/>
              <w:jc w:val="center"/>
              <w:rPr>
                <w:rFonts w:ascii="Futura Bk" w:eastAsia="Futura Bk" w:hAnsi="Futura Bk" w:cs="等线"/>
                <w:color w:val="FF0000"/>
              </w:rPr>
            </w:pPr>
            <w:r>
              <w:rPr>
                <w:rFonts w:ascii="Futura Bk" w:eastAsia="Futura Bk" w:hAnsi="Futura Bk" w:cs="等线" w:hint="eastAsia"/>
                <w:color w:val="FF0000"/>
              </w:rPr>
              <w:t>权重</w:t>
            </w:r>
          </w:p>
        </w:tc>
        <w:tc>
          <w:tcPr>
            <w:tcW w:w="2294" w:type="dxa"/>
            <w:shd w:val="clear" w:color="auto" w:fill="FFFF00"/>
            <w:vAlign w:val="center"/>
          </w:tcPr>
          <w:p w14:paraId="112D9575" w14:textId="77777777" w:rsidR="00EF6091" w:rsidRDefault="00000000">
            <w:pPr>
              <w:pStyle w:val="a5"/>
              <w:jc w:val="center"/>
              <w:rPr>
                <w:rFonts w:ascii="Futura Bk" w:eastAsia="Futura Bk" w:hAnsi="Futura Bk" w:cs="等线"/>
                <w:color w:val="FF0000"/>
              </w:rPr>
            </w:pPr>
            <w:r>
              <w:rPr>
                <w:rFonts w:ascii="Futura Bk" w:eastAsia="Futura Bk" w:hAnsi="Futura Bk" w:cs="等线" w:hint="eastAsia"/>
                <w:color w:val="FF0000"/>
              </w:rPr>
              <w:t>4</w:t>
            </w:r>
            <w:r>
              <w:rPr>
                <w:rFonts w:ascii="Futura Bk" w:eastAsia="Futura Bk" w:hAnsi="Futura Bk" w:cs="等线"/>
                <w:color w:val="FF0000"/>
              </w:rPr>
              <w:t>0</w:t>
            </w:r>
          </w:p>
        </w:tc>
        <w:tc>
          <w:tcPr>
            <w:tcW w:w="1800" w:type="dxa"/>
            <w:shd w:val="clear" w:color="auto" w:fill="FFFF00"/>
            <w:vAlign w:val="center"/>
          </w:tcPr>
          <w:p w14:paraId="755C9D15" w14:textId="77777777" w:rsidR="00EF6091" w:rsidRDefault="00000000">
            <w:pPr>
              <w:pStyle w:val="a5"/>
              <w:jc w:val="center"/>
              <w:rPr>
                <w:rFonts w:ascii="Futura Bk" w:eastAsia="Futura Bk" w:hAnsi="Futura Bk" w:cs="等线"/>
                <w:color w:val="FF0000"/>
              </w:rPr>
            </w:pPr>
            <w:r>
              <w:rPr>
                <w:rFonts w:ascii="Futura Bk" w:eastAsia="Futura Bk" w:hAnsi="Futura Bk" w:cs="等线"/>
                <w:color w:val="FF0000"/>
              </w:rPr>
              <w:t>30</w:t>
            </w:r>
          </w:p>
        </w:tc>
        <w:tc>
          <w:tcPr>
            <w:tcW w:w="1913" w:type="dxa"/>
            <w:shd w:val="clear" w:color="auto" w:fill="FFFF00"/>
            <w:vAlign w:val="center"/>
          </w:tcPr>
          <w:p w14:paraId="58C0D513" w14:textId="77777777" w:rsidR="00EF6091" w:rsidRDefault="00000000">
            <w:pPr>
              <w:pStyle w:val="a5"/>
              <w:jc w:val="center"/>
              <w:rPr>
                <w:rFonts w:ascii="Futura Bk" w:eastAsia="Futura Bk" w:hAnsi="Futura Bk" w:cs="等线"/>
                <w:color w:val="FF0000"/>
              </w:rPr>
            </w:pPr>
            <w:r>
              <w:rPr>
                <w:rFonts w:ascii="Futura Bk" w:eastAsia="Futura Bk" w:hAnsi="Futura Bk" w:cs="等线"/>
                <w:color w:val="FF0000"/>
              </w:rPr>
              <w:t>30</w:t>
            </w:r>
          </w:p>
        </w:tc>
      </w:tr>
    </w:tbl>
    <w:p w14:paraId="07B351A1" w14:textId="77777777" w:rsidR="00EF6091" w:rsidRDefault="00000000">
      <w:pPr>
        <w:pStyle w:val="a5"/>
        <w:spacing w:line="360" w:lineRule="auto"/>
        <w:rPr>
          <w:rFonts w:ascii="Futura Bk" w:eastAsia="Futura Bk" w:hAnsi="Futura Bk"/>
          <w:b/>
          <w:shd w:val="clear" w:color="auto" w:fill="FFFFFF"/>
        </w:rPr>
      </w:pPr>
      <w:r>
        <w:rPr>
          <w:rFonts w:ascii="Futura Bk" w:eastAsia="Futura Bk" w:hAnsi="Futura Bk" w:hint="eastAsia"/>
          <w:b/>
          <w:snapToGrid w:val="0"/>
          <w:spacing w:val="0"/>
          <w:lang w:val="en-GB"/>
        </w:rPr>
        <w:t>13.2.</w:t>
      </w:r>
      <w:r>
        <w:rPr>
          <w:rFonts w:ascii="Futura Bk" w:eastAsia="Futura Bk" w:hAnsi="Futura Bk"/>
          <w:b/>
          <w:snapToGrid w:val="0"/>
          <w:spacing w:val="0"/>
          <w:lang w:val="en-GB"/>
        </w:rPr>
        <w:t>量化评审内容如下：</w:t>
      </w:r>
    </w:p>
    <w:p w14:paraId="177FEAF2" w14:textId="77777777" w:rsidR="00EF6091" w:rsidRDefault="00000000">
      <w:pPr>
        <w:pStyle w:val="a5"/>
        <w:spacing w:line="360" w:lineRule="auto"/>
        <w:rPr>
          <w:rFonts w:ascii="Futura Bk" w:eastAsia="Futura Bk" w:hAnsi="Futura Bk"/>
          <w:b/>
          <w:color w:val="FF0000"/>
          <w:shd w:val="clear" w:color="auto" w:fill="FFFFFF"/>
        </w:rPr>
      </w:pPr>
      <w:r>
        <w:rPr>
          <w:rFonts w:ascii="Futura Bk" w:eastAsia="Futura Bk" w:hAnsi="Futura Bk" w:hint="eastAsia"/>
          <w:b/>
          <w:color w:val="FF0000"/>
          <w:shd w:val="clear" w:color="auto" w:fill="FFFFFF"/>
        </w:rPr>
        <w:t>13.2.1技术部分（权重</w:t>
      </w:r>
      <w:r>
        <w:rPr>
          <w:rFonts w:ascii="Futura Bk" w:eastAsia="Futura Bk" w:hAnsi="Futura Bk"/>
          <w:b/>
          <w:color w:val="FF0000"/>
          <w:shd w:val="clear" w:color="auto" w:fill="FFFFFF"/>
        </w:rPr>
        <w:t>40</w:t>
      </w:r>
      <w:r>
        <w:rPr>
          <w:rFonts w:ascii="Futura Bk" w:eastAsia="Futura Bk" w:hAnsi="Futura Bk" w:hint="eastAsia"/>
          <w:b/>
          <w:color w:val="FF0000"/>
          <w:shd w:val="clear" w:color="auto" w:fill="FFFFFF"/>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565"/>
        <w:gridCol w:w="6828"/>
        <w:gridCol w:w="706"/>
      </w:tblGrid>
      <w:tr w:rsidR="00EF6091" w14:paraId="5EEFD53E" w14:textId="77777777">
        <w:trPr>
          <w:trHeight w:val="515"/>
          <w:jc w:val="center"/>
        </w:trPr>
        <w:tc>
          <w:tcPr>
            <w:tcW w:w="706" w:type="dxa"/>
            <w:vAlign w:val="center"/>
          </w:tcPr>
          <w:p w14:paraId="77DFD4DC" w14:textId="77777777" w:rsidR="00EF6091" w:rsidRDefault="00000000">
            <w:pPr>
              <w:adjustRightInd w:val="0"/>
              <w:snapToGrid w:val="0"/>
              <w:spacing w:line="276" w:lineRule="auto"/>
              <w:jc w:val="center"/>
              <w:rPr>
                <w:rFonts w:ascii="宋体" w:eastAsia="宋体" w:hAnsi="宋体" w:hint="eastAsia"/>
                <w:b/>
                <w:sz w:val="24"/>
              </w:rPr>
            </w:pPr>
            <w:r>
              <w:rPr>
                <w:rFonts w:ascii="宋体" w:eastAsia="宋体" w:hAnsi="宋体" w:hint="eastAsia"/>
                <w:b/>
                <w:sz w:val="24"/>
              </w:rPr>
              <w:t>序号</w:t>
            </w:r>
          </w:p>
        </w:tc>
        <w:tc>
          <w:tcPr>
            <w:tcW w:w="1565" w:type="dxa"/>
            <w:vAlign w:val="center"/>
          </w:tcPr>
          <w:p w14:paraId="0D092664" w14:textId="77777777" w:rsidR="00EF6091" w:rsidRDefault="00000000">
            <w:pPr>
              <w:adjustRightInd w:val="0"/>
              <w:snapToGrid w:val="0"/>
              <w:spacing w:line="276" w:lineRule="auto"/>
              <w:jc w:val="center"/>
              <w:rPr>
                <w:rFonts w:ascii="宋体" w:eastAsia="宋体" w:hAnsi="宋体" w:hint="eastAsia"/>
                <w:b/>
                <w:sz w:val="24"/>
              </w:rPr>
            </w:pPr>
            <w:r>
              <w:rPr>
                <w:rFonts w:ascii="宋体" w:eastAsia="宋体" w:hAnsi="宋体" w:hint="eastAsia"/>
                <w:b/>
                <w:sz w:val="24"/>
              </w:rPr>
              <w:t>评审因素</w:t>
            </w:r>
          </w:p>
        </w:tc>
        <w:tc>
          <w:tcPr>
            <w:tcW w:w="6828" w:type="dxa"/>
            <w:vAlign w:val="center"/>
          </w:tcPr>
          <w:p w14:paraId="1E1EE87B" w14:textId="77777777" w:rsidR="00EF6091" w:rsidRDefault="00000000">
            <w:pPr>
              <w:adjustRightInd w:val="0"/>
              <w:snapToGrid w:val="0"/>
              <w:spacing w:line="276" w:lineRule="auto"/>
              <w:rPr>
                <w:rFonts w:ascii="宋体" w:eastAsia="宋体" w:hAnsi="宋体" w:hint="eastAsia"/>
                <w:b/>
                <w:sz w:val="24"/>
              </w:rPr>
            </w:pPr>
            <w:r>
              <w:rPr>
                <w:rFonts w:ascii="宋体" w:eastAsia="宋体" w:hAnsi="宋体" w:hint="eastAsia"/>
                <w:b/>
                <w:sz w:val="24"/>
              </w:rPr>
              <w:t>评分标准</w:t>
            </w:r>
          </w:p>
        </w:tc>
        <w:tc>
          <w:tcPr>
            <w:tcW w:w="706" w:type="dxa"/>
            <w:vAlign w:val="center"/>
          </w:tcPr>
          <w:p w14:paraId="2D8833FA" w14:textId="77777777" w:rsidR="00EF6091" w:rsidRDefault="00000000">
            <w:pPr>
              <w:adjustRightInd w:val="0"/>
              <w:snapToGrid w:val="0"/>
              <w:spacing w:line="276" w:lineRule="auto"/>
              <w:jc w:val="center"/>
              <w:rPr>
                <w:rFonts w:ascii="宋体" w:eastAsia="宋体" w:hAnsi="宋体" w:hint="eastAsia"/>
                <w:b/>
                <w:sz w:val="24"/>
              </w:rPr>
            </w:pPr>
            <w:r>
              <w:rPr>
                <w:rFonts w:ascii="宋体" w:eastAsia="宋体" w:hAnsi="宋体" w:hint="eastAsia"/>
                <w:b/>
                <w:sz w:val="24"/>
              </w:rPr>
              <w:t>分值</w:t>
            </w:r>
          </w:p>
        </w:tc>
      </w:tr>
      <w:tr w:rsidR="00EF6091" w14:paraId="4721A2CF" w14:textId="77777777">
        <w:trPr>
          <w:trHeight w:val="515"/>
          <w:jc w:val="center"/>
        </w:trPr>
        <w:tc>
          <w:tcPr>
            <w:tcW w:w="706" w:type="dxa"/>
            <w:vAlign w:val="center"/>
          </w:tcPr>
          <w:p w14:paraId="549EE1BC" w14:textId="77777777" w:rsidR="00EF6091" w:rsidRDefault="00000000">
            <w:pPr>
              <w:adjustRightInd w:val="0"/>
              <w:snapToGrid w:val="0"/>
              <w:spacing w:line="276" w:lineRule="auto"/>
              <w:jc w:val="center"/>
              <w:rPr>
                <w:rFonts w:ascii="宋体" w:eastAsia="宋体" w:hAnsi="宋体" w:hint="eastAsia"/>
                <w:bCs/>
                <w:sz w:val="24"/>
              </w:rPr>
            </w:pPr>
            <w:r>
              <w:rPr>
                <w:rFonts w:ascii="宋体" w:eastAsia="宋体" w:hAnsi="宋体" w:hint="eastAsia"/>
                <w:bCs/>
                <w:sz w:val="24"/>
              </w:rPr>
              <w:lastRenderedPageBreak/>
              <w:t>1</w:t>
            </w:r>
          </w:p>
        </w:tc>
        <w:tc>
          <w:tcPr>
            <w:tcW w:w="1565" w:type="dxa"/>
            <w:vAlign w:val="center"/>
          </w:tcPr>
          <w:p w14:paraId="2E1BD40E" w14:textId="77777777" w:rsidR="00EF6091" w:rsidRDefault="00000000">
            <w:pPr>
              <w:adjustRightInd w:val="0"/>
              <w:snapToGrid w:val="0"/>
              <w:spacing w:line="276" w:lineRule="auto"/>
              <w:jc w:val="center"/>
              <w:rPr>
                <w:rFonts w:ascii="宋体" w:eastAsia="宋体" w:hAnsi="宋体" w:hint="eastAsia"/>
                <w:bCs/>
                <w:sz w:val="24"/>
              </w:rPr>
            </w:pPr>
            <w:r>
              <w:rPr>
                <w:rFonts w:ascii="宋体" w:eastAsia="宋体" w:hAnsi="宋体" w:hint="eastAsia"/>
                <w:sz w:val="24"/>
              </w:rPr>
              <w:t>专利授权率</w:t>
            </w:r>
          </w:p>
        </w:tc>
        <w:tc>
          <w:tcPr>
            <w:tcW w:w="6828" w:type="dxa"/>
            <w:vAlign w:val="center"/>
          </w:tcPr>
          <w:p w14:paraId="10EB9A82"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根</w:t>
            </w:r>
            <w:r>
              <w:rPr>
                <w:rFonts w:ascii="宋体" w:eastAsia="宋体" w:hAnsi="宋体"/>
                <w:kern w:val="2"/>
                <w:sz w:val="24"/>
                <w:szCs w:val="24"/>
              </w:rPr>
              <w:t>据授权率进行</w:t>
            </w:r>
            <w:r>
              <w:rPr>
                <w:rFonts w:ascii="宋体" w:eastAsia="宋体" w:hAnsi="宋体" w:hint="eastAsia"/>
                <w:kern w:val="2"/>
                <w:sz w:val="24"/>
                <w:szCs w:val="24"/>
              </w:rPr>
              <w:t>评</w:t>
            </w:r>
            <w:r>
              <w:rPr>
                <w:rFonts w:ascii="宋体" w:eastAsia="宋体" w:hAnsi="宋体"/>
                <w:kern w:val="2"/>
                <w:sz w:val="24"/>
                <w:szCs w:val="24"/>
              </w:rPr>
              <w:t>分</w:t>
            </w:r>
            <w:r>
              <w:rPr>
                <w:rFonts w:ascii="宋体" w:eastAsia="宋体" w:hAnsi="宋体" w:hint="eastAsia"/>
                <w:kern w:val="2"/>
                <w:sz w:val="24"/>
                <w:szCs w:val="24"/>
              </w:rPr>
              <w:t>，</w:t>
            </w:r>
            <w:r>
              <w:rPr>
                <w:rFonts w:ascii="宋体" w:eastAsia="宋体" w:hAnsi="宋体"/>
                <w:kern w:val="2"/>
                <w:sz w:val="24"/>
                <w:szCs w:val="24"/>
              </w:rPr>
              <w:t>授权率 = 授权的案件数量 / 结案的案件数量 * 100%</w:t>
            </w:r>
          </w:p>
          <w:p w14:paraId="31461465"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（1</w:t>
            </w:r>
            <w:r>
              <w:rPr>
                <w:rFonts w:ascii="宋体" w:eastAsia="宋体" w:hAnsi="宋体"/>
                <w:kern w:val="2"/>
                <w:sz w:val="24"/>
                <w:szCs w:val="24"/>
              </w:rPr>
              <w:t>）</w:t>
            </w:r>
            <w:r>
              <w:rPr>
                <w:rFonts w:ascii="宋体" w:eastAsia="宋体" w:hAnsi="宋体" w:hint="eastAsia"/>
                <w:kern w:val="2"/>
                <w:sz w:val="24"/>
                <w:szCs w:val="24"/>
              </w:rPr>
              <w:t>授权率达90%以上，得10分；</w:t>
            </w:r>
          </w:p>
          <w:p w14:paraId="2308F0B7"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（2</w:t>
            </w:r>
            <w:r>
              <w:rPr>
                <w:rFonts w:ascii="宋体" w:eastAsia="宋体" w:hAnsi="宋体"/>
                <w:kern w:val="2"/>
                <w:sz w:val="24"/>
                <w:szCs w:val="24"/>
              </w:rPr>
              <w:t>）</w:t>
            </w:r>
            <w:r>
              <w:rPr>
                <w:rFonts w:ascii="宋体" w:eastAsia="宋体" w:hAnsi="宋体" w:hint="eastAsia"/>
                <w:kern w:val="2"/>
                <w:sz w:val="24"/>
                <w:szCs w:val="24"/>
              </w:rPr>
              <w:t>授权率达8</w:t>
            </w:r>
            <w:r>
              <w:rPr>
                <w:rFonts w:ascii="宋体" w:eastAsia="宋体" w:hAnsi="宋体"/>
                <w:kern w:val="2"/>
                <w:sz w:val="24"/>
                <w:szCs w:val="24"/>
              </w:rPr>
              <w:t>0</w:t>
            </w:r>
            <w:r>
              <w:rPr>
                <w:rFonts w:ascii="宋体" w:eastAsia="宋体" w:hAnsi="宋体" w:hint="eastAsia"/>
                <w:kern w:val="2"/>
                <w:sz w:val="24"/>
                <w:szCs w:val="24"/>
              </w:rPr>
              <w:t>%以上，90%以下，得8分；</w:t>
            </w:r>
          </w:p>
          <w:p w14:paraId="63A43F48"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w:t>
            </w:r>
            <w:r>
              <w:rPr>
                <w:rFonts w:ascii="宋体" w:eastAsia="宋体" w:hAnsi="宋体"/>
                <w:kern w:val="2"/>
                <w:sz w:val="24"/>
                <w:szCs w:val="24"/>
              </w:rPr>
              <w:t>3）</w:t>
            </w:r>
            <w:r>
              <w:rPr>
                <w:rFonts w:ascii="宋体" w:eastAsia="宋体" w:hAnsi="宋体" w:hint="eastAsia"/>
                <w:kern w:val="2"/>
                <w:sz w:val="24"/>
                <w:szCs w:val="24"/>
              </w:rPr>
              <w:t>授权率达7</w:t>
            </w:r>
            <w:r>
              <w:rPr>
                <w:rFonts w:ascii="宋体" w:eastAsia="宋体" w:hAnsi="宋体"/>
                <w:kern w:val="2"/>
                <w:sz w:val="24"/>
                <w:szCs w:val="24"/>
              </w:rPr>
              <w:t>0</w:t>
            </w:r>
            <w:r>
              <w:rPr>
                <w:rFonts w:ascii="宋体" w:eastAsia="宋体" w:hAnsi="宋体" w:hint="eastAsia"/>
                <w:kern w:val="2"/>
                <w:sz w:val="24"/>
                <w:szCs w:val="24"/>
              </w:rPr>
              <w:t>%以上，80%以下，得</w:t>
            </w:r>
            <w:r>
              <w:rPr>
                <w:rFonts w:ascii="宋体" w:eastAsia="宋体" w:hAnsi="宋体"/>
                <w:kern w:val="2"/>
                <w:sz w:val="24"/>
                <w:szCs w:val="24"/>
              </w:rPr>
              <w:t>6</w:t>
            </w:r>
            <w:r>
              <w:rPr>
                <w:rFonts w:ascii="宋体" w:eastAsia="宋体" w:hAnsi="宋体" w:hint="eastAsia"/>
                <w:kern w:val="2"/>
                <w:sz w:val="24"/>
                <w:szCs w:val="24"/>
              </w:rPr>
              <w:t>分；</w:t>
            </w:r>
          </w:p>
          <w:p w14:paraId="46E4B598"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w:t>
            </w:r>
            <w:r>
              <w:rPr>
                <w:rFonts w:ascii="宋体" w:eastAsia="宋体" w:hAnsi="宋体"/>
                <w:kern w:val="2"/>
                <w:sz w:val="24"/>
                <w:szCs w:val="24"/>
              </w:rPr>
              <w:t>4）</w:t>
            </w:r>
            <w:r>
              <w:rPr>
                <w:rFonts w:ascii="宋体" w:eastAsia="宋体" w:hAnsi="宋体" w:hint="eastAsia"/>
                <w:kern w:val="2"/>
                <w:sz w:val="24"/>
                <w:szCs w:val="24"/>
              </w:rPr>
              <w:t>授权率达60%以上，7</w:t>
            </w:r>
            <w:r>
              <w:rPr>
                <w:rFonts w:ascii="宋体" w:eastAsia="宋体" w:hAnsi="宋体"/>
                <w:kern w:val="2"/>
                <w:sz w:val="24"/>
                <w:szCs w:val="24"/>
              </w:rPr>
              <w:t>0</w:t>
            </w:r>
            <w:r>
              <w:rPr>
                <w:rFonts w:ascii="宋体" w:eastAsia="宋体" w:hAnsi="宋体" w:hint="eastAsia"/>
                <w:kern w:val="2"/>
                <w:sz w:val="24"/>
                <w:szCs w:val="24"/>
              </w:rPr>
              <w:t>%以下，得</w:t>
            </w:r>
            <w:r>
              <w:rPr>
                <w:rFonts w:ascii="宋体" w:eastAsia="宋体" w:hAnsi="宋体"/>
                <w:kern w:val="2"/>
                <w:sz w:val="24"/>
                <w:szCs w:val="24"/>
              </w:rPr>
              <w:t>4</w:t>
            </w:r>
            <w:r>
              <w:rPr>
                <w:rFonts w:ascii="宋体" w:eastAsia="宋体" w:hAnsi="宋体" w:hint="eastAsia"/>
                <w:kern w:val="2"/>
                <w:sz w:val="24"/>
                <w:szCs w:val="24"/>
              </w:rPr>
              <w:t>分；</w:t>
            </w:r>
          </w:p>
          <w:p w14:paraId="0C4F1BC0"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w:t>
            </w:r>
            <w:r>
              <w:rPr>
                <w:rFonts w:ascii="宋体" w:eastAsia="宋体" w:hAnsi="宋体"/>
                <w:kern w:val="2"/>
                <w:sz w:val="24"/>
                <w:szCs w:val="24"/>
              </w:rPr>
              <w:t>5）</w:t>
            </w:r>
            <w:r>
              <w:rPr>
                <w:rFonts w:ascii="宋体" w:eastAsia="宋体" w:hAnsi="宋体" w:hint="eastAsia"/>
                <w:kern w:val="2"/>
                <w:sz w:val="24"/>
                <w:szCs w:val="24"/>
              </w:rPr>
              <w:t>授权率达5</w:t>
            </w:r>
            <w:r>
              <w:rPr>
                <w:rFonts w:ascii="宋体" w:eastAsia="宋体" w:hAnsi="宋体"/>
                <w:kern w:val="2"/>
                <w:sz w:val="24"/>
                <w:szCs w:val="24"/>
              </w:rPr>
              <w:t>0</w:t>
            </w:r>
            <w:r>
              <w:rPr>
                <w:rFonts w:ascii="宋体" w:eastAsia="宋体" w:hAnsi="宋体" w:hint="eastAsia"/>
                <w:kern w:val="2"/>
                <w:sz w:val="24"/>
                <w:szCs w:val="24"/>
              </w:rPr>
              <w:t>%以上，60%以下，得</w:t>
            </w:r>
            <w:r>
              <w:rPr>
                <w:rFonts w:ascii="宋体" w:eastAsia="宋体" w:hAnsi="宋体"/>
                <w:kern w:val="2"/>
                <w:sz w:val="24"/>
                <w:szCs w:val="24"/>
              </w:rPr>
              <w:t>2</w:t>
            </w:r>
            <w:r>
              <w:rPr>
                <w:rFonts w:ascii="宋体" w:eastAsia="宋体" w:hAnsi="宋体" w:hint="eastAsia"/>
                <w:kern w:val="2"/>
                <w:sz w:val="24"/>
                <w:szCs w:val="24"/>
              </w:rPr>
              <w:t>分；</w:t>
            </w:r>
          </w:p>
          <w:p w14:paraId="162AD0A6" w14:textId="77777777" w:rsidR="00EF6091" w:rsidRDefault="00000000">
            <w:pPr>
              <w:pStyle w:val="p0"/>
              <w:spacing w:line="276" w:lineRule="auto"/>
              <w:rPr>
                <w:rFonts w:eastAsia="等线" w:hint="eastAsia"/>
                <w:b/>
                <w:sz w:val="22"/>
              </w:rPr>
            </w:pPr>
            <w:r>
              <w:rPr>
                <w:rFonts w:ascii="宋体" w:eastAsia="宋体" w:hAnsi="宋体" w:hint="eastAsia"/>
                <w:kern w:val="2"/>
                <w:sz w:val="24"/>
                <w:szCs w:val="24"/>
              </w:rPr>
              <w:t>备</w:t>
            </w:r>
            <w:r>
              <w:rPr>
                <w:rFonts w:ascii="宋体" w:eastAsia="宋体" w:hAnsi="宋体"/>
                <w:kern w:val="2"/>
                <w:sz w:val="24"/>
                <w:szCs w:val="24"/>
              </w:rPr>
              <w:t>注：</w:t>
            </w:r>
            <w:r>
              <w:rPr>
                <w:rFonts w:ascii="宋体" w:eastAsia="宋体" w:hAnsi="宋体" w:hint="eastAsia"/>
                <w:kern w:val="2"/>
                <w:sz w:val="24"/>
                <w:szCs w:val="24"/>
              </w:rPr>
              <w:t>以</w:t>
            </w:r>
            <w:r>
              <w:rPr>
                <w:rFonts w:ascii="宋体" w:eastAsia="宋体" w:hAnsi="宋体"/>
                <w:kern w:val="2"/>
                <w:sz w:val="24"/>
                <w:szCs w:val="24"/>
              </w:rPr>
              <w:t>上</w:t>
            </w:r>
            <w:r>
              <w:rPr>
                <w:rFonts w:ascii="宋体" w:eastAsia="宋体" w:hAnsi="宋体" w:hint="eastAsia"/>
                <w:kern w:val="2"/>
                <w:sz w:val="24"/>
                <w:szCs w:val="24"/>
              </w:rPr>
              <w:t>含本数</w:t>
            </w:r>
            <w:r>
              <w:rPr>
                <w:rFonts w:ascii="宋体" w:eastAsia="宋体" w:hAnsi="宋体"/>
                <w:kern w:val="2"/>
                <w:sz w:val="24"/>
                <w:szCs w:val="24"/>
              </w:rPr>
              <w:t>，</w:t>
            </w:r>
            <w:r>
              <w:rPr>
                <w:rFonts w:ascii="宋体" w:eastAsia="宋体" w:hAnsi="宋体" w:hint="eastAsia"/>
                <w:kern w:val="2"/>
                <w:sz w:val="24"/>
                <w:szCs w:val="24"/>
              </w:rPr>
              <w:t>其</w:t>
            </w:r>
            <w:r>
              <w:rPr>
                <w:rFonts w:ascii="宋体" w:eastAsia="宋体" w:hAnsi="宋体"/>
                <w:kern w:val="2"/>
                <w:sz w:val="24"/>
                <w:szCs w:val="24"/>
              </w:rPr>
              <w:t>它</w:t>
            </w:r>
            <w:r>
              <w:rPr>
                <w:rFonts w:ascii="宋体" w:eastAsia="宋体" w:hAnsi="宋体" w:hint="eastAsia"/>
                <w:kern w:val="2"/>
                <w:sz w:val="24"/>
                <w:szCs w:val="24"/>
              </w:rPr>
              <w:t>授</w:t>
            </w:r>
            <w:r>
              <w:rPr>
                <w:rFonts w:ascii="宋体" w:eastAsia="宋体" w:hAnsi="宋体"/>
                <w:kern w:val="2"/>
                <w:sz w:val="24"/>
                <w:szCs w:val="24"/>
              </w:rPr>
              <w:t>权率不得分</w:t>
            </w:r>
          </w:p>
        </w:tc>
        <w:tc>
          <w:tcPr>
            <w:tcW w:w="706" w:type="dxa"/>
            <w:vAlign w:val="center"/>
          </w:tcPr>
          <w:p w14:paraId="391C9F75" w14:textId="77777777" w:rsidR="00EF6091" w:rsidRDefault="00000000">
            <w:pPr>
              <w:adjustRightInd w:val="0"/>
              <w:snapToGrid w:val="0"/>
              <w:spacing w:line="276" w:lineRule="auto"/>
              <w:jc w:val="center"/>
              <w:rPr>
                <w:rFonts w:ascii="宋体" w:eastAsia="宋体" w:hAnsi="宋体" w:hint="eastAsia"/>
                <w:bCs/>
                <w:sz w:val="24"/>
              </w:rPr>
            </w:pPr>
            <w:r>
              <w:rPr>
                <w:rFonts w:ascii="宋体" w:eastAsia="宋体" w:hAnsi="宋体" w:cs="仿宋"/>
                <w:sz w:val="24"/>
              </w:rPr>
              <w:t>10</w:t>
            </w:r>
          </w:p>
        </w:tc>
      </w:tr>
      <w:tr w:rsidR="00EF6091" w14:paraId="31FDE571" w14:textId="77777777">
        <w:trPr>
          <w:trHeight w:val="1014"/>
          <w:jc w:val="center"/>
        </w:trPr>
        <w:tc>
          <w:tcPr>
            <w:tcW w:w="706" w:type="dxa"/>
            <w:vAlign w:val="center"/>
          </w:tcPr>
          <w:p w14:paraId="55D1120B"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kern w:val="2"/>
                <w:sz w:val="24"/>
                <w:szCs w:val="24"/>
              </w:rPr>
              <w:t>2</w:t>
            </w:r>
          </w:p>
        </w:tc>
        <w:tc>
          <w:tcPr>
            <w:tcW w:w="1565" w:type="dxa"/>
            <w:vAlign w:val="center"/>
          </w:tcPr>
          <w:p w14:paraId="489F0099"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hint="eastAsia"/>
                <w:kern w:val="2"/>
                <w:sz w:val="24"/>
                <w:szCs w:val="24"/>
              </w:rPr>
              <w:t>申请流程及其效率</w:t>
            </w:r>
          </w:p>
        </w:tc>
        <w:tc>
          <w:tcPr>
            <w:tcW w:w="6828" w:type="dxa"/>
            <w:vAlign w:val="center"/>
          </w:tcPr>
          <w:p w14:paraId="3A790FD8"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根</w:t>
            </w:r>
            <w:r>
              <w:rPr>
                <w:rFonts w:ascii="宋体" w:eastAsia="宋体" w:hAnsi="宋体"/>
                <w:kern w:val="2"/>
                <w:sz w:val="24"/>
                <w:szCs w:val="24"/>
              </w:rPr>
              <w:t>据</w:t>
            </w:r>
            <w:r>
              <w:rPr>
                <w:rFonts w:ascii="宋体" w:eastAsia="宋体" w:hAnsi="宋体" w:hint="eastAsia"/>
                <w:kern w:val="2"/>
                <w:sz w:val="24"/>
                <w:szCs w:val="24"/>
              </w:rPr>
              <w:t>提供</w:t>
            </w:r>
            <w:r>
              <w:rPr>
                <w:rFonts w:ascii="宋体" w:eastAsia="宋体" w:hAnsi="宋体"/>
                <w:kern w:val="2"/>
                <w:sz w:val="24"/>
                <w:szCs w:val="24"/>
              </w:rPr>
              <w:t>的有</w:t>
            </w:r>
            <w:r>
              <w:rPr>
                <w:rFonts w:ascii="宋体" w:eastAsia="宋体" w:hAnsi="宋体" w:hint="eastAsia"/>
                <w:kern w:val="2"/>
                <w:sz w:val="24"/>
                <w:szCs w:val="24"/>
              </w:rPr>
              <w:t>服</w:t>
            </w:r>
            <w:r>
              <w:rPr>
                <w:rFonts w:ascii="宋体" w:eastAsia="宋体" w:hAnsi="宋体"/>
                <w:kern w:val="2"/>
                <w:sz w:val="24"/>
                <w:szCs w:val="24"/>
              </w:rPr>
              <w:t>务</w:t>
            </w:r>
            <w:r>
              <w:rPr>
                <w:rFonts w:ascii="宋体" w:eastAsia="宋体" w:hAnsi="宋体" w:hint="eastAsia"/>
                <w:kern w:val="2"/>
                <w:sz w:val="24"/>
                <w:szCs w:val="24"/>
              </w:rPr>
              <w:t>流程完善、成熟，服务周全进</w:t>
            </w:r>
            <w:r>
              <w:rPr>
                <w:rFonts w:ascii="宋体" w:eastAsia="宋体" w:hAnsi="宋体"/>
                <w:kern w:val="2"/>
                <w:sz w:val="24"/>
                <w:szCs w:val="24"/>
              </w:rPr>
              <w:t>行对</w:t>
            </w:r>
            <w:r>
              <w:rPr>
                <w:rFonts w:ascii="宋体" w:eastAsia="宋体" w:hAnsi="宋体" w:hint="eastAsia"/>
                <w:kern w:val="2"/>
                <w:sz w:val="24"/>
                <w:szCs w:val="24"/>
              </w:rPr>
              <w:t>比，优秀</w:t>
            </w:r>
          </w:p>
          <w:p w14:paraId="443C94F0"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得10分，良好得7分，一般得3分，差不得分。</w:t>
            </w:r>
          </w:p>
        </w:tc>
        <w:tc>
          <w:tcPr>
            <w:tcW w:w="706" w:type="dxa"/>
            <w:vAlign w:val="center"/>
          </w:tcPr>
          <w:p w14:paraId="04352EB8" w14:textId="77777777" w:rsidR="00EF6091" w:rsidRDefault="00000000">
            <w:pPr>
              <w:adjustRightInd w:val="0"/>
              <w:snapToGrid w:val="0"/>
              <w:spacing w:line="276" w:lineRule="auto"/>
              <w:jc w:val="center"/>
              <w:rPr>
                <w:rFonts w:ascii="宋体" w:eastAsia="宋体" w:hAnsi="宋体" w:hint="eastAsia"/>
                <w:bCs/>
                <w:sz w:val="24"/>
              </w:rPr>
            </w:pPr>
            <w:r>
              <w:rPr>
                <w:rFonts w:ascii="宋体" w:eastAsia="宋体" w:hAnsi="宋体" w:cs="仿宋" w:hint="eastAsia"/>
                <w:sz w:val="24"/>
              </w:rPr>
              <w:t>10</w:t>
            </w:r>
          </w:p>
        </w:tc>
      </w:tr>
      <w:tr w:rsidR="00EF6091" w14:paraId="09EEA024" w14:textId="77777777">
        <w:trPr>
          <w:trHeight w:val="552"/>
          <w:jc w:val="center"/>
        </w:trPr>
        <w:tc>
          <w:tcPr>
            <w:tcW w:w="706" w:type="dxa"/>
            <w:vAlign w:val="center"/>
          </w:tcPr>
          <w:p w14:paraId="4DA55FD3"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kern w:val="2"/>
                <w:sz w:val="24"/>
                <w:szCs w:val="24"/>
              </w:rPr>
              <w:t>3</w:t>
            </w:r>
          </w:p>
        </w:tc>
        <w:tc>
          <w:tcPr>
            <w:tcW w:w="1565" w:type="dxa"/>
            <w:vAlign w:val="center"/>
          </w:tcPr>
          <w:p w14:paraId="3792132D"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hint="eastAsia"/>
                <w:kern w:val="2"/>
                <w:sz w:val="24"/>
                <w:szCs w:val="24"/>
              </w:rPr>
              <w:t>成果转化指导和服务</w:t>
            </w:r>
          </w:p>
        </w:tc>
        <w:tc>
          <w:tcPr>
            <w:tcW w:w="6828" w:type="dxa"/>
            <w:vAlign w:val="center"/>
          </w:tcPr>
          <w:p w14:paraId="224868DE"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有成熟、完善的成果转化指导和服务，得</w:t>
            </w:r>
            <w:r>
              <w:rPr>
                <w:rFonts w:ascii="宋体" w:eastAsia="宋体" w:hAnsi="宋体"/>
                <w:kern w:val="2"/>
                <w:sz w:val="24"/>
                <w:szCs w:val="24"/>
              </w:rPr>
              <w:t>1</w:t>
            </w:r>
            <w:r>
              <w:rPr>
                <w:rFonts w:ascii="宋体" w:eastAsia="宋体" w:hAnsi="宋体" w:hint="eastAsia"/>
                <w:kern w:val="2"/>
                <w:sz w:val="24"/>
                <w:szCs w:val="24"/>
              </w:rPr>
              <w:t>0分；无成果转化规划方案扣5分；无成果转化内容扣5分。</w:t>
            </w:r>
          </w:p>
        </w:tc>
        <w:tc>
          <w:tcPr>
            <w:tcW w:w="706" w:type="dxa"/>
            <w:vAlign w:val="center"/>
          </w:tcPr>
          <w:p w14:paraId="3D2DBA80" w14:textId="77777777" w:rsidR="00EF6091" w:rsidRDefault="00000000">
            <w:pPr>
              <w:widowControl/>
              <w:jc w:val="center"/>
              <w:textAlignment w:val="center"/>
              <w:rPr>
                <w:rFonts w:ascii="宋体" w:eastAsia="宋体" w:hAnsi="宋体" w:hint="eastAsia"/>
                <w:bCs/>
                <w:sz w:val="24"/>
              </w:rPr>
            </w:pPr>
            <w:r>
              <w:rPr>
                <w:rFonts w:ascii="宋体" w:eastAsia="宋体" w:hAnsi="宋体" w:cs="仿宋"/>
                <w:sz w:val="24"/>
              </w:rPr>
              <w:t>10</w:t>
            </w:r>
          </w:p>
        </w:tc>
      </w:tr>
      <w:tr w:rsidR="00EF6091" w14:paraId="22BD2A73" w14:textId="77777777">
        <w:trPr>
          <w:trHeight w:val="552"/>
          <w:jc w:val="center"/>
        </w:trPr>
        <w:tc>
          <w:tcPr>
            <w:tcW w:w="706" w:type="dxa"/>
            <w:vAlign w:val="center"/>
          </w:tcPr>
          <w:p w14:paraId="25F368A4"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kern w:val="2"/>
                <w:sz w:val="24"/>
                <w:szCs w:val="24"/>
              </w:rPr>
              <w:t>4</w:t>
            </w:r>
          </w:p>
        </w:tc>
        <w:tc>
          <w:tcPr>
            <w:tcW w:w="1565" w:type="dxa"/>
            <w:vAlign w:val="center"/>
          </w:tcPr>
          <w:p w14:paraId="797E7740" w14:textId="77777777" w:rsidR="00EF6091" w:rsidRDefault="00000000">
            <w:pPr>
              <w:pStyle w:val="p0"/>
              <w:spacing w:line="276" w:lineRule="auto"/>
              <w:jc w:val="center"/>
              <w:rPr>
                <w:rFonts w:ascii="宋体" w:eastAsia="宋体" w:hAnsi="宋体" w:hint="eastAsia"/>
                <w:kern w:val="2"/>
                <w:sz w:val="24"/>
                <w:szCs w:val="24"/>
              </w:rPr>
            </w:pPr>
            <w:r>
              <w:rPr>
                <w:rFonts w:ascii="宋体" w:eastAsia="宋体" w:hAnsi="宋体" w:hint="eastAsia"/>
                <w:kern w:val="2"/>
                <w:sz w:val="24"/>
                <w:szCs w:val="24"/>
              </w:rPr>
              <w:t>定期的成果转化等培训服务</w:t>
            </w:r>
          </w:p>
        </w:tc>
        <w:tc>
          <w:tcPr>
            <w:tcW w:w="6828" w:type="dxa"/>
            <w:vAlign w:val="center"/>
          </w:tcPr>
          <w:p w14:paraId="0A04690E" w14:textId="77777777" w:rsidR="00EF6091" w:rsidRDefault="00000000">
            <w:pPr>
              <w:pStyle w:val="p0"/>
              <w:spacing w:line="276" w:lineRule="auto"/>
              <w:rPr>
                <w:rFonts w:ascii="宋体" w:eastAsia="宋体" w:hAnsi="宋体" w:hint="eastAsia"/>
                <w:kern w:val="2"/>
                <w:sz w:val="24"/>
                <w:szCs w:val="24"/>
              </w:rPr>
            </w:pPr>
            <w:r>
              <w:rPr>
                <w:rFonts w:ascii="宋体" w:eastAsia="宋体" w:hAnsi="宋体" w:hint="eastAsia"/>
                <w:kern w:val="2"/>
                <w:sz w:val="24"/>
                <w:szCs w:val="24"/>
              </w:rPr>
              <w:t>服务期间，承诺每年开展知识产权、成果转化宣传服务活动（讲座、辅导、展示等）：提供一次得</w:t>
            </w:r>
            <w:r>
              <w:rPr>
                <w:rFonts w:ascii="宋体" w:eastAsia="宋体" w:hAnsi="宋体"/>
                <w:kern w:val="2"/>
                <w:sz w:val="24"/>
                <w:szCs w:val="24"/>
              </w:rPr>
              <w:t>2分，最高得10分</w:t>
            </w:r>
          </w:p>
        </w:tc>
        <w:tc>
          <w:tcPr>
            <w:tcW w:w="706" w:type="dxa"/>
            <w:vAlign w:val="center"/>
          </w:tcPr>
          <w:p w14:paraId="26965C2C" w14:textId="77777777" w:rsidR="00EF6091" w:rsidRDefault="00000000">
            <w:pPr>
              <w:adjustRightInd w:val="0"/>
              <w:snapToGrid w:val="0"/>
              <w:spacing w:line="276" w:lineRule="auto"/>
              <w:jc w:val="center"/>
              <w:rPr>
                <w:rFonts w:ascii="宋体" w:eastAsia="宋体" w:hAnsi="宋体" w:hint="eastAsia"/>
                <w:bCs/>
                <w:sz w:val="24"/>
              </w:rPr>
            </w:pPr>
            <w:r>
              <w:rPr>
                <w:rFonts w:ascii="宋体" w:eastAsia="宋体" w:hAnsi="宋体" w:cs="仿宋"/>
                <w:sz w:val="24"/>
              </w:rPr>
              <w:t>10</w:t>
            </w:r>
          </w:p>
        </w:tc>
      </w:tr>
    </w:tbl>
    <w:p w14:paraId="72B42F9B" w14:textId="77777777" w:rsidR="00EF6091" w:rsidRDefault="00EF6091">
      <w:pPr>
        <w:pStyle w:val="a5"/>
        <w:spacing w:line="360" w:lineRule="auto"/>
        <w:rPr>
          <w:rFonts w:ascii="Futura Bk" w:eastAsia="Futura Bk" w:hAnsi="Futura Bk"/>
          <w:b/>
          <w:color w:val="FF0000"/>
          <w:shd w:val="clear" w:color="auto" w:fill="FFFFFF"/>
        </w:rPr>
      </w:pPr>
    </w:p>
    <w:p w14:paraId="497A37A4" w14:textId="77777777" w:rsidR="00EF6091" w:rsidRDefault="00000000">
      <w:pPr>
        <w:pStyle w:val="a5"/>
        <w:spacing w:before="120" w:after="120" w:line="360" w:lineRule="auto"/>
        <w:rPr>
          <w:rFonts w:ascii="Futura Bk" w:eastAsia="Futura Bk" w:hAnsi="Futura Bk"/>
          <w:b/>
          <w:color w:val="FF0000"/>
          <w:shd w:val="clear" w:color="auto" w:fill="FFFFFF"/>
        </w:rPr>
      </w:pPr>
      <w:r>
        <w:rPr>
          <w:rFonts w:ascii="Futura Bk" w:eastAsia="Futura Bk" w:hAnsi="Futura Bk" w:hint="eastAsia"/>
          <w:b/>
          <w:color w:val="FF0000"/>
          <w:shd w:val="clear" w:color="auto" w:fill="FFFFFF"/>
        </w:rPr>
        <w:t>13.2.2商务部分（权重</w:t>
      </w:r>
      <w:r>
        <w:rPr>
          <w:rFonts w:ascii="Futura Bk" w:eastAsia="Futura Bk" w:hAnsi="Futura Bk"/>
          <w:b/>
          <w:color w:val="FF0000"/>
          <w:shd w:val="clear" w:color="auto" w:fill="FFFFFF"/>
        </w:rPr>
        <w:t>30</w:t>
      </w:r>
      <w:r>
        <w:rPr>
          <w:rFonts w:ascii="Futura Bk" w:eastAsia="Futura Bk" w:hAnsi="Futura Bk" w:hint="eastAsia"/>
          <w:b/>
          <w:color w:val="FF0000"/>
          <w:shd w:val="clear" w:color="auto" w:fill="FFFFFF"/>
        </w:rPr>
        <w: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779"/>
        <w:gridCol w:w="6709"/>
        <w:gridCol w:w="714"/>
      </w:tblGrid>
      <w:tr w:rsidR="00EF6091" w14:paraId="5D311A00" w14:textId="77777777">
        <w:trPr>
          <w:trHeight w:val="515"/>
          <w:jc w:val="center"/>
        </w:trPr>
        <w:tc>
          <w:tcPr>
            <w:tcW w:w="715" w:type="dxa"/>
            <w:vAlign w:val="center"/>
          </w:tcPr>
          <w:p w14:paraId="755AE000" w14:textId="77777777" w:rsidR="00EF6091" w:rsidRDefault="00000000">
            <w:pPr>
              <w:adjustRightInd w:val="0"/>
              <w:snapToGrid w:val="0"/>
              <w:spacing w:line="288" w:lineRule="auto"/>
              <w:jc w:val="center"/>
              <w:rPr>
                <w:rFonts w:ascii="宋体" w:eastAsia="宋体" w:hAnsi="宋体" w:hint="eastAsia"/>
                <w:b/>
                <w:color w:val="000000"/>
                <w:sz w:val="24"/>
              </w:rPr>
            </w:pPr>
            <w:r>
              <w:rPr>
                <w:rFonts w:ascii="宋体" w:eastAsia="宋体" w:hAnsi="宋体" w:hint="eastAsia"/>
                <w:b/>
                <w:color w:val="000000"/>
                <w:sz w:val="24"/>
              </w:rPr>
              <w:t>序号</w:t>
            </w:r>
          </w:p>
        </w:tc>
        <w:tc>
          <w:tcPr>
            <w:tcW w:w="1779" w:type="dxa"/>
            <w:vAlign w:val="center"/>
          </w:tcPr>
          <w:p w14:paraId="3DED6BC5" w14:textId="77777777" w:rsidR="00EF6091" w:rsidRDefault="00000000">
            <w:pPr>
              <w:adjustRightInd w:val="0"/>
              <w:snapToGrid w:val="0"/>
              <w:spacing w:line="288" w:lineRule="auto"/>
              <w:jc w:val="center"/>
              <w:rPr>
                <w:rFonts w:ascii="宋体" w:eastAsia="宋体" w:hAnsi="宋体" w:hint="eastAsia"/>
                <w:b/>
                <w:color w:val="000000"/>
                <w:sz w:val="24"/>
              </w:rPr>
            </w:pPr>
            <w:r>
              <w:rPr>
                <w:rFonts w:ascii="宋体" w:eastAsia="宋体" w:hAnsi="宋体" w:hint="eastAsia"/>
                <w:b/>
                <w:color w:val="000000"/>
                <w:sz w:val="24"/>
              </w:rPr>
              <w:t>评审因素</w:t>
            </w:r>
          </w:p>
        </w:tc>
        <w:tc>
          <w:tcPr>
            <w:tcW w:w="6709" w:type="dxa"/>
            <w:vAlign w:val="center"/>
          </w:tcPr>
          <w:p w14:paraId="7F625C3D" w14:textId="77777777" w:rsidR="00EF6091" w:rsidRDefault="00000000">
            <w:pPr>
              <w:adjustRightInd w:val="0"/>
              <w:snapToGrid w:val="0"/>
              <w:spacing w:line="288" w:lineRule="auto"/>
              <w:jc w:val="center"/>
              <w:rPr>
                <w:rFonts w:ascii="宋体" w:eastAsia="宋体" w:hAnsi="宋体" w:hint="eastAsia"/>
                <w:b/>
                <w:color w:val="000000"/>
                <w:sz w:val="24"/>
              </w:rPr>
            </w:pPr>
            <w:r>
              <w:rPr>
                <w:rFonts w:ascii="宋体" w:eastAsia="宋体" w:hAnsi="宋体" w:hint="eastAsia"/>
                <w:b/>
                <w:color w:val="000000"/>
                <w:sz w:val="24"/>
              </w:rPr>
              <w:t>评分标准</w:t>
            </w:r>
          </w:p>
        </w:tc>
        <w:tc>
          <w:tcPr>
            <w:tcW w:w="714" w:type="dxa"/>
            <w:vAlign w:val="center"/>
          </w:tcPr>
          <w:p w14:paraId="07F95A5E" w14:textId="77777777" w:rsidR="00EF6091" w:rsidRDefault="00000000">
            <w:pPr>
              <w:adjustRightInd w:val="0"/>
              <w:snapToGrid w:val="0"/>
              <w:spacing w:line="288" w:lineRule="auto"/>
              <w:jc w:val="center"/>
              <w:rPr>
                <w:rFonts w:ascii="宋体" w:eastAsia="宋体" w:hAnsi="宋体" w:hint="eastAsia"/>
                <w:b/>
                <w:color w:val="000000"/>
                <w:sz w:val="24"/>
              </w:rPr>
            </w:pPr>
            <w:r>
              <w:rPr>
                <w:rFonts w:ascii="宋体" w:eastAsia="宋体" w:hAnsi="宋体" w:hint="eastAsia"/>
                <w:b/>
                <w:color w:val="000000"/>
                <w:sz w:val="24"/>
              </w:rPr>
              <w:t>分值</w:t>
            </w:r>
          </w:p>
        </w:tc>
      </w:tr>
      <w:tr w:rsidR="00EF6091" w14:paraId="0CC2C635" w14:textId="77777777">
        <w:trPr>
          <w:trHeight w:val="790"/>
          <w:jc w:val="center"/>
        </w:trPr>
        <w:tc>
          <w:tcPr>
            <w:tcW w:w="715" w:type="dxa"/>
            <w:vAlign w:val="center"/>
          </w:tcPr>
          <w:p w14:paraId="3410656B" w14:textId="77777777" w:rsidR="00EF6091" w:rsidRDefault="00000000">
            <w:pPr>
              <w:spacing w:line="288" w:lineRule="auto"/>
              <w:ind w:firstLineChars="50" w:firstLine="120"/>
              <w:rPr>
                <w:rFonts w:ascii="宋体" w:eastAsia="宋体" w:hAnsi="宋体" w:cs="Futura Bk" w:hint="eastAsia"/>
                <w:sz w:val="24"/>
                <w:lang w:val="zh-CN"/>
              </w:rPr>
            </w:pPr>
            <w:r>
              <w:rPr>
                <w:rFonts w:ascii="宋体" w:eastAsia="宋体" w:hAnsi="宋体" w:cs="Futura Bk" w:hint="eastAsia"/>
                <w:sz w:val="24"/>
                <w:lang w:val="zh-CN"/>
              </w:rPr>
              <w:t>1</w:t>
            </w:r>
          </w:p>
        </w:tc>
        <w:tc>
          <w:tcPr>
            <w:tcW w:w="1779" w:type="dxa"/>
            <w:vAlign w:val="center"/>
          </w:tcPr>
          <w:p w14:paraId="2D40CB4D" w14:textId="77777777" w:rsidR="00EF6091" w:rsidRDefault="00000000">
            <w:pPr>
              <w:spacing w:line="288" w:lineRule="auto"/>
              <w:ind w:firstLineChars="50" w:firstLine="110"/>
              <w:jc w:val="center"/>
              <w:rPr>
                <w:rFonts w:ascii="宋体" w:eastAsia="宋体" w:hAnsi="宋体" w:cs="宋体" w:hint="eastAsia"/>
                <w:sz w:val="24"/>
              </w:rPr>
            </w:pPr>
            <w:r>
              <w:rPr>
                <w:rFonts w:hint="eastAsia"/>
                <w:b/>
                <w:sz w:val="22"/>
              </w:rPr>
              <w:t>代理业绩</w:t>
            </w:r>
          </w:p>
        </w:tc>
        <w:tc>
          <w:tcPr>
            <w:tcW w:w="6709" w:type="dxa"/>
            <w:vAlign w:val="center"/>
          </w:tcPr>
          <w:p w14:paraId="1BFB6E9C" w14:textId="77777777" w:rsidR="00EF6091" w:rsidRDefault="00000000">
            <w:pPr>
              <w:pStyle w:val="10"/>
              <w:spacing w:line="312" w:lineRule="auto"/>
              <w:jc w:val="left"/>
              <w:rPr>
                <w:rFonts w:ascii="宋体" w:hAnsi="宋体" w:cs="等线" w:hint="eastAsia"/>
                <w:sz w:val="24"/>
                <w:szCs w:val="24"/>
              </w:rPr>
            </w:pPr>
            <w:r>
              <w:rPr>
                <w:rFonts w:ascii="宋体" w:hAnsi="宋体" w:cs="等线" w:hint="eastAsia"/>
                <w:sz w:val="24"/>
                <w:szCs w:val="24"/>
              </w:rPr>
              <w:t>根据近2021</w:t>
            </w:r>
            <w:r>
              <w:rPr>
                <w:rFonts w:ascii="宋体" w:hAnsi="宋体" w:cs="等线"/>
                <w:sz w:val="24"/>
                <w:szCs w:val="24"/>
              </w:rPr>
              <w:t>年以来（以合同签订时间为准）知识产权代理相关的项目业绩进行评审：每提供一个得1分，最高10分。</w:t>
            </w:r>
            <w:r>
              <w:rPr>
                <w:rFonts w:ascii="宋体" w:hAnsi="宋体" w:cs="等线" w:hint="eastAsia"/>
                <w:sz w:val="24"/>
                <w:szCs w:val="24"/>
              </w:rPr>
              <w:t>（注：须提供合同关键页复印件加盖公章，不提供不得分。）</w:t>
            </w:r>
          </w:p>
        </w:tc>
        <w:tc>
          <w:tcPr>
            <w:tcW w:w="714" w:type="dxa"/>
            <w:vAlign w:val="center"/>
          </w:tcPr>
          <w:p w14:paraId="2B5F26BC" w14:textId="77777777" w:rsidR="00EF6091" w:rsidRDefault="00000000">
            <w:pPr>
              <w:spacing w:line="288" w:lineRule="auto"/>
              <w:ind w:firstLineChars="50" w:firstLine="120"/>
              <w:rPr>
                <w:rFonts w:ascii="宋体" w:eastAsia="宋体" w:hAnsi="宋体" w:cs="Futura Bk" w:hint="eastAsia"/>
                <w:sz w:val="24"/>
              </w:rPr>
            </w:pPr>
            <w:r>
              <w:rPr>
                <w:rFonts w:ascii="宋体" w:eastAsia="宋体" w:hAnsi="宋体" w:cs="仿宋" w:hint="eastAsia"/>
                <w:color w:val="000000"/>
                <w:sz w:val="24"/>
              </w:rPr>
              <w:t>10</w:t>
            </w:r>
          </w:p>
        </w:tc>
      </w:tr>
      <w:tr w:rsidR="00EF6091" w14:paraId="444A74E4" w14:textId="77777777">
        <w:trPr>
          <w:trHeight w:val="1739"/>
          <w:jc w:val="center"/>
        </w:trPr>
        <w:tc>
          <w:tcPr>
            <w:tcW w:w="715" w:type="dxa"/>
            <w:vAlign w:val="center"/>
          </w:tcPr>
          <w:p w14:paraId="1CF11766" w14:textId="77777777" w:rsidR="00EF6091" w:rsidRDefault="00000000">
            <w:pPr>
              <w:adjustRightInd w:val="0"/>
              <w:snapToGrid w:val="0"/>
              <w:spacing w:line="288" w:lineRule="auto"/>
              <w:jc w:val="center"/>
              <w:rPr>
                <w:rFonts w:ascii="宋体" w:eastAsia="宋体" w:hAnsi="宋体" w:hint="eastAsia"/>
                <w:bCs/>
                <w:sz w:val="24"/>
              </w:rPr>
            </w:pPr>
            <w:r>
              <w:rPr>
                <w:rFonts w:ascii="宋体" w:eastAsia="宋体" w:hAnsi="宋体" w:hint="eastAsia"/>
                <w:bCs/>
                <w:sz w:val="24"/>
              </w:rPr>
              <w:t>2</w:t>
            </w:r>
          </w:p>
        </w:tc>
        <w:tc>
          <w:tcPr>
            <w:tcW w:w="1779" w:type="dxa"/>
            <w:vAlign w:val="center"/>
          </w:tcPr>
          <w:p w14:paraId="6DC62D8B" w14:textId="77777777" w:rsidR="00EF6091" w:rsidRDefault="00000000">
            <w:pPr>
              <w:adjustRightInd w:val="0"/>
              <w:snapToGrid w:val="0"/>
              <w:spacing w:line="288" w:lineRule="auto"/>
              <w:jc w:val="center"/>
              <w:rPr>
                <w:rFonts w:ascii="宋体" w:eastAsia="宋体" w:hAnsi="宋体" w:hint="eastAsia"/>
                <w:bCs/>
                <w:sz w:val="24"/>
              </w:rPr>
            </w:pPr>
            <w:r>
              <w:rPr>
                <w:rFonts w:hint="eastAsia"/>
                <w:b/>
                <w:sz w:val="22"/>
              </w:rPr>
              <w:t>成果转化典型案例</w:t>
            </w:r>
          </w:p>
        </w:tc>
        <w:tc>
          <w:tcPr>
            <w:tcW w:w="6709" w:type="dxa"/>
            <w:vAlign w:val="center"/>
          </w:tcPr>
          <w:p w14:paraId="123931C4" w14:textId="77777777" w:rsidR="00EF6091" w:rsidRDefault="00000000">
            <w:pPr>
              <w:widowControl/>
              <w:jc w:val="left"/>
              <w:textAlignment w:val="center"/>
              <w:rPr>
                <w:rFonts w:ascii="宋体" w:eastAsia="宋体" w:hAnsi="宋体" w:hint="eastAsia"/>
                <w:sz w:val="24"/>
              </w:rPr>
            </w:pPr>
            <w:r>
              <w:rPr>
                <w:rFonts w:ascii="宋体" w:eastAsia="宋体" w:hAnsi="宋体" w:hint="eastAsia"/>
                <w:sz w:val="24"/>
              </w:rPr>
              <w:t>根据供应商的成果转化典型案例的情况，有真实，转化过程详细的案例2例及以上，得10分；有真实，转化过程详细的案例1例，得6分；有案例，但转化过程不详细，得3分；无案例不得分。</w:t>
            </w:r>
          </w:p>
        </w:tc>
        <w:tc>
          <w:tcPr>
            <w:tcW w:w="714" w:type="dxa"/>
            <w:vAlign w:val="center"/>
          </w:tcPr>
          <w:p w14:paraId="0F6BDAEE" w14:textId="77777777" w:rsidR="00EF6091" w:rsidRDefault="00000000">
            <w:pPr>
              <w:adjustRightInd w:val="0"/>
              <w:snapToGrid w:val="0"/>
              <w:spacing w:line="288" w:lineRule="auto"/>
              <w:jc w:val="center"/>
              <w:rPr>
                <w:rFonts w:ascii="宋体" w:eastAsia="宋体" w:hAnsi="宋体" w:hint="eastAsia"/>
                <w:bCs/>
                <w:color w:val="FF0000"/>
                <w:sz w:val="24"/>
              </w:rPr>
            </w:pPr>
            <w:r>
              <w:rPr>
                <w:rFonts w:ascii="宋体" w:eastAsia="宋体" w:hAnsi="宋体" w:hint="eastAsia"/>
                <w:bCs/>
                <w:color w:val="FF0000"/>
                <w:sz w:val="24"/>
              </w:rPr>
              <w:t>10</w:t>
            </w:r>
          </w:p>
        </w:tc>
      </w:tr>
      <w:tr w:rsidR="00EF6091" w14:paraId="74031006" w14:textId="77777777">
        <w:trPr>
          <w:trHeight w:val="770"/>
          <w:jc w:val="center"/>
        </w:trPr>
        <w:tc>
          <w:tcPr>
            <w:tcW w:w="715" w:type="dxa"/>
            <w:vAlign w:val="center"/>
          </w:tcPr>
          <w:p w14:paraId="5D5A9F4E" w14:textId="77777777" w:rsidR="00EF6091" w:rsidRDefault="00000000">
            <w:pPr>
              <w:adjustRightInd w:val="0"/>
              <w:snapToGrid w:val="0"/>
              <w:spacing w:line="288" w:lineRule="auto"/>
              <w:jc w:val="center"/>
              <w:rPr>
                <w:rFonts w:ascii="宋体" w:eastAsia="宋体" w:hAnsi="宋体" w:hint="eastAsia"/>
                <w:bCs/>
                <w:sz w:val="24"/>
              </w:rPr>
            </w:pPr>
            <w:r>
              <w:rPr>
                <w:rFonts w:ascii="宋体" w:eastAsia="宋体" w:hAnsi="宋体" w:hint="eastAsia"/>
                <w:bCs/>
                <w:sz w:val="24"/>
              </w:rPr>
              <w:t>3</w:t>
            </w:r>
          </w:p>
        </w:tc>
        <w:tc>
          <w:tcPr>
            <w:tcW w:w="1779" w:type="dxa"/>
          </w:tcPr>
          <w:p w14:paraId="0FE32896" w14:textId="77777777" w:rsidR="00EF6091" w:rsidRDefault="00000000">
            <w:pPr>
              <w:jc w:val="center"/>
              <w:rPr>
                <w:rFonts w:hint="eastAsia"/>
                <w:b/>
                <w:sz w:val="22"/>
              </w:rPr>
            </w:pPr>
            <w:r>
              <w:rPr>
                <w:rFonts w:hint="eastAsia"/>
                <w:b/>
                <w:sz w:val="22"/>
              </w:rPr>
              <w:t>有专职代理师对接</w:t>
            </w:r>
          </w:p>
        </w:tc>
        <w:tc>
          <w:tcPr>
            <w:tcW w:w="6709" w:type="dxa"/>
            <w:vAlign w:val="center"/>
          </w:tcPr>
          <w:p w14:paraId="62412236" w14:textId="77777777" w:rsidR="00EF6091" w:rsidRDefault="00000000">
            <w:pPr>
              <w:widowControl/>
              <w:jc w:val="left"/>
              <w:textAlignment w:val="center"/>
              <w:rPr>
                <w:rFonts w:ascii="宋体" w:eastAsia="宋体" w:hAnsi="宋体" w:hint="eastAsia"/>
                <w:sz w:val="24"/>
              </w:rPr>
            </w:pPr>
            <w:r>
              <w:rPr>
                <w:rFonts w:ascii="宋体" w:eastAsia="宋体" w:hAnsi="宋体" w:hint="eastAsia"/>
                <w:sz w:val="24"/>
              </w:rPr>
              <w:t>有专业的专利代理师团队，且能提供1－2名专职代理师对接业务，并承诺5个工作日内提出申请方案和申请进度计划，得5分。无专职代理师对接，扣3分，不能承诺5个工作日内响应，扣2分。</w:t>
            </w:r>
          </w:p>
        </w:tc>
        <w:tc>
          <w:tcPr>
            <w:tcW w:w="714" w:type="dxa"/>
            <w:vAlign w:val="center"/>
          </w:tcPr>
          <w:p w14:paraId="6AFC8BF3" w14:textId="77777777" w:rsidR="00EF6091" w:rsidRDefault="00000000">
            <w:pPr>
              <w:adjustRightInd w:val="0"/>
              <w:snapToGrid w:val="0"/>
              <w:spacing w:line="288" w:lineRule="auto"/>
              <w:jc w:val="center"/>
              <w:rPr>
                <w:rFonts w:ascii="宋体" w:eastAsia="宋体" w:hAnsi="宋体" w:hint="eastAsia"/>
                <w:bCs/>
                <w:color w:val="000000"/>
                <w:sz w:val="24"/>
              </w:rPr>
            </w:pPr>
            <w:r>
              <w:rPr>
                <w:rFonts w:ascii="宋体" w:eastAsia="宋体" w:hAnsi="宋体" w:hint="eastAsia"/>
                <w:bCs/>
                <w:color w:val="000000"/>
                <w:sz w:val="24"/>
              </w:rPr>
              <w:t>5</w:t>
            </w:r>
          </w:p>
        </w:tc>
      </w:tr>
      <w:tr w:rsidR="00EF6091" w14:paraId="38EADE88" w14:textId="77777777">
        <w:trPr>
          <w:trHeight w:val="685"/>
          <w:jc w:val="center"/>
        </w:trPr>
        <w:tc>
          <w:tcPr>
            <w:tcW w:w="715" w:type="dxa"/>
            <w:vAlign w:val="center"/>
          </w:tcPr>
          <w:p w14:paraId="23D5592C" w14:textId="77777777" w:rsidR="00EF6091" w:rsidRDefault="00000000">
            <w:pPr>
              <w:adjustRightInd w:val="0"/>
              <w:snapToGrid w:val="0"/>
              <w:spacing w:line="288" w:lineRule="auto"/>
              <w:jc w:val="center"/>
              <w:rPr>
                <w:rFonts w:ascii="宋体" w:eastAsia="宋体" w:hAnsi="宋体" w:hint="eastAsia"/>
                <w:bCs/>
                <w:sz w:val="24"/>
              </w:rPr>
            </w:pPr>
            <w:r>
              <w:rPr>
                <w:rFonts w:ascii="宋体" w:eastAsia="宋体" w:hAnsi="宋体" w:hint="eastAsia"/>
                <w:bCs/>
                <w:sz w:val="24"/>
              </w:rPr>
              <w:t>4</w:t>
            </w:r>
          </w:p>
        </w:tc>
        <w:tc>
          <w:tcPr>
            <w:tcW w:w="1779" w:type="dxa"/>
          </w:tcPr>
          <w:p w14:paraId="20657426" w14:textId="77777777" w:rsidR="00EF6091" w:rsidRDefault="00000000">
            <w:pPr>
              <w:jc w:val="center"/>
              <w:rPr>
                <w:rFonts w:hint="eastAsia"/>
                <w:b/>
                <w:sz w:val="22"/>
              </w:rPr>
            </w:pPr>
            <w:r>
              <w:rPr>
                <w:rFonts w:hint="eastAsia"/>
                <w:b/>
                <w:sz w:val="22"/>
              </w:rPr>
              <w:t>广东省代理服务时间</w:t>
            </w:r>
          </w:p>
        </w:tc>
        <w:tc>
          <w:tcPr>
            <w:tcW w:w="6709" w:type="dxa"/>
            <w:vAlign w:val="center"/>
          </w:tcPr>
          <w:p w14:paraId="46CBF47F" w14:textId="77777777" w:rsidR="00EF6091" w:rsidRDefault="00000000">
            <w:pPr>
              <w:widowControl/>
              <w:jc w:val="left"/>
              <w:textAlignment w:val="center"/>
              <w:rPr>
                <w:rFonts w:ascii="宋体" w:eastAsia="宋体" w:hAnsi="宋体" w:hint="eastAsia"/>
                <w:sz w:val="24"/>
              </w:rPr>
            </w:pPr>
            <w:r>
              <w:rPr>
                <w:rFonts w:ascii="宋体" w:eastAsia="宋体" w:hAnsi="宋体" w:hint="eastAsia"/>
                <w:sz w:val="24"/>
              </w:rPr>
              <w:t>在广东省范围内开展知识产权代理业务，每满1年，得1分</w:t>
            </w:r>
          </w:p>
        </w:tc>
        <w:tc>
          <w:tcPr>
            <w:tcW w:w="714" w:type="dxa"/>
            <w:vAlign w:val="center"/>
          </w:tcPr>
          <w:p w14:paraId="7C0B669D" w14:textId="77777777" w:rsidR="00EF6091" w:rsidRDefault="00000000">
            <w:pPr>
              <w:adjustRightInd w:val="0"/>
              <w:snapToGrid w:val="0"/>
              <w:spacing w:line="288" w:lineRule="auto"/>
              <w:jc w:val="center"/>
              <w:rPr>
                <w:rFonts w:ascii="宋体" w:eastAsia="宋体" w:hAnsi="宋体" w:hint="eastAsia"/>
                <w:bCs/>
                <w:color w:val="000000"/>
                <w:sz w:val="24"/>
              </w:rPr>
            </w:pPr>
            <w:r>
              <w:rPr>
                <w:rFonts w:ascii="宋体" w:eastAsia="宋体" w:hAnsi="宋体" w:hint="eastAsia"/>
                <w:bCs/>
                <w:color w:val="000000"/>
                <w:sz w:val="24"/>
              </w:rPr>
              <w:t>5</w:t>
            </w:r>
          </w:p>
        </w:tc>
      </w:tr>
      <w:tr w:rsidR="00EF6091" w14:paraId="1A300A79" w14:textId="77777777">
        <w:trPr>
          <w:trHeight w:val="685"/>
          <w:jc w:val="center"/>
        </w:trPr>
        <w:tc>
          <w:tcPr>
            <w:tcW w:w="715" w:type="dxa"/>
            <w:vAlign w:val="center"/>
          </w:tcPr>
          <w:p w14:paraId="20A6EA63" w14:textId="77777777" w:rsidR="00EF6091" w:rsidRDefault="00000000">
            <w:pPr>
              <w:adjustRightInd w:val="0"/>
              <w:snapToGrid w:val="0"/>
              <w:spacing w:line="288" w:lineRule="auto"/>
              <w:jc w:val="center"/>
              <w:rPr>
                <w:rFonts w:ascii="宋体" w:eastAsia="宋体" w:hAnsi="宋体" w:hint="eastAsia"/>
                <w:bCs/>
                <w:sz w:val="24"/>
              </w:rPr>
            </w:pPr>
            <w:r>
              <w:rPr>
                <w:rFonts w:ascii="宋体" w:eastAsia="宋体" w:hAnsi="宋体" w:hint="eastAsia"/>
                <w:bCs/>
                <w:sz w:val="24"/>
              </w:rPr>
              <w:t>参</w:t>
            </w:r>
            <w:r>
              <w:rPr>
                <w:rFonts w:ascii="宋体" w:eastAsia="宋体" w:hAnsi="宋体"/>
                <w:bCs/>
                <w:sz w:val="24"/>
              </w:rPr>
              <w:t>考</w:t>
            </w:r>
          </w:p>
        </w:tc>
        <w:tc>
          <w:tcPr>
            <w:tcW w:w="1779" w:type="dxa"/>
          </w:tcPr>
          <w:p w14:paraId="03C33A50" w14:textId="77777777" w:rsidR="00EF6091" w:rsidRDefault="00EF6091">
            <w:pPr>
              <w:jc w:val="center"/>
              <w:rPr>
                <w:rFonts w:hint="eastAsia"/>
                <w:b/>
                <w:sz w:val="22"/>
              </w:rPr>
            </w:pPr>
          </w:p>
          <w:p w14:paraId="323B39AE" w14:textId="77777777" w:rsidR="00EF6091" w:rsidRDefault="00EF6091">
            <w:pPr>
              <w:jc w:val="center"/>
              <w:rPr>
                <w:rFonts w:hint="eastAsia"/>
                <w:b/>
                <w:sz w:val="22"/>
              </w:rPr>
            </w:pPr>
          </w:p>
          <w:p w14:paraId="4CE705E2" w14:textId="77777777" w:rsidR="00EF6091" w:rsidRDefault="00000000">
            <w:pPr>
              <w:jc w:val="center"/>
              <w:rPr>
                <w:rFonts w:hint="eastAsia"/>
                <w:b/>
                <w:sz w:val="22"/>
              </w:rPr>
            </w:pPr>
            <w:r>
              <w:rPr>
                <w:b/>
                <w:sz w:val="22"/>
              </w:rPr>
              <w:t>服务响应</w:t>
            </w:r>
          </w:p>
        </w:tc>
        <w:tc>
          <w:tcPr>
            <w:tcW w:w="6709" w:type="dxa"/>
            <w:vAlign w:val="center"/>
          </w:tcPr>
          <w:p w14:paraId="35A2DE15" w14:textId="77777777" w:rsidR="00EF6091" w:rsidRDefault="00000000">
            <w:pPr>
              <w:widowControl/>
              <w:jc w:val="left"/>
              <w:textAlignment w:val="center"/>
              <w:rPr>
                <w:rFonts w:hint="eastAsia"/>
                <w:sz w:val="22"/>
              </w:rPr>
            </w:pPr>
            <w:r>
              <w:t>供应商承诺的服务响应时间：  接到采购人书面或电话通知后，在2小时（含）内到场或通过视频会议</w:t>
            </w:r>
            <w:proofErr w:type="gramStart"/>
            <w:r>
              <w:t>作出</w:t>
            </w:r>
            <w:proofErr w:type="gramEnd"/>
            <w:r>
              <w:t>响应的，得3分； 接到采购人书面或电话通知后，在2小时（不含）-4小时（含）到场或通过视频会议</w:t>
            </w:r>
            <w:proofErr w:type="gramStart"/>
            <w:r>
              <w:t>作出</w:t>
            </w:r>
            <w:proofErr w:type="gramEnd"/>
            <w:r>
              <w:t>响应的，得2分； 接到采购人书面或电话通知后，在4小时（不</w:t>
            </w:r>
            <w:r>
              <w:lastRenderedPageBreak/>
              <w:t>含）-6小时（含）到场或通过视频会议</w:t>
            </w:r>
            <w:proofErr w:type="gramStart"/>
            <w:r>
              <w:t>作出</w:t>
            </w:r>
            <w:proofErr w:type="gramEnd"/>
            <w:r>
              <w:t>响应的，得1分。 接到采购人书面或电话通知后，在6小时（不含）以上到场或通过视频会议</w:t>
            </w:r>
            <w:proofErr w:type="gramStart"/>
            <w:r>
              <w:t>作出</w:t>
            </w:r>
            <w:proofErr w:type="gramEnd"/>
            <w:r>
              <w:t>响应的，不得分。 注：提供承诺或声明，不提供不得分</w:t>
            </w:r>
          </w:p>
        </w:tc>
        <w:tc>
          <w:tcPr>
            <w:tcW w:w="714" w:type="dxa"/>
            <w:vAlign w:val="center"/>
          </w:tcPr>
          <w:p w14:paraId="3D454FEE" w14:textId="77777777" w:rsidR="00EF6091" w:rsidRDefault="00EF6091">
            <w:pPr>
              <w:adjustRightInd w:val="0"/>
              <w:snapToGrid w:val="0"/>
              <w:spacing w:line="288" w:lineRule="auto"/>
              <w:jc w:val="center"/>
              <w:rPr>
                <w:rFonts w:ascii="宋体" w:eastAsia="宋体" w:hAnsi="宋体" w:hint="eastAsia"/>
                <w:bCs/>
                <w:color w:val="000000"/>
                <w:sz w:val="24"/>
              </w:rPr>
            </w:pPr>
          </w:p>
        </w:tc>
      </w:tr>
    </w:tbl>
    <w:p w14:paraId="6CDA57C9" w14:textId="77777777" w:rsidR="00EF6091" w:rsidRDefault="00EF6091">
      <w:pPr>
        <w:pStyle w:val="a5"/>
        <w:spacing w:line="360" w:lineRule="auto"/>
        <w:rPr>
          <w:rFonts w:ascii="Futura Bk" w:eastAsia="Futura Bk" w:hAnsi="Futura Bk"/>
          <w:b/>
          <w:shd w:val="clear" w:color="auto" w:fill="FFFFFF"/>
        </w:rPr>
      </w:pPr>
    </w:p>
    <w:p w14:paraId="47E8C97F" w14:textId="77777777" w:rsidR="00EF6091" w:rsidRDefault="00000000">
      <w:pPr>
        <w:pStyle w:val="a5"/>
        <w:spacing w:line="360" w:lineRule="auto"/>
        <w:rPr>
          <w:rFonts w:ascii="Futura Bk" w:eastAsia="Futura Bk" w:hAnsi="Futura Bk"/>
          <w:b/>
          <w:shd w:val="clear" w:color="auto" w:fill="FFFFFF"/>
        </w:rPr>
      </w:pPr>
      <w:r>
        <w:rPr>
          <w:rFonts w:ascii="Futura Bk" w:eastAsia="Futura Bk" w:hAnsi="Futura Bk" w:hint="eastAsia"/>
          <w:b/>
          <w:shd w:val="clear" w:color="auto" w:fill="FFFFFF"/>
        </w:rPr>
        <w:t>13.2.3价格部分（权重</w:t>
      </w:r>
      <w:r>
        <w:rPr>
          <w:rFonts w:ascii="Futura Bk" w:eastAsia="Futura Bk" w:hAnsi="Futura Bk"/>
          <w:b/>
          <w:shd w:val="clear" w:color="auto" w:fill="FFFFFF"/>
        </w:rPr>
        <w:t>30</w:t>
      </w:r>
      <w:r>
        <w:rPr>
          <w:rFonts w:ascii="Futura Bk" w:eastAsia="Futura Bk" w:hAnsi="Futura Bk" w:hint="eastAsia"/>
          <w:b/>
          <w:shd w:val="clear" w:color="auto" w:fill="FFFFFF"/>
        </w:rPr>
        <w:t xml:space="preserve">％）： </w:t>
      </w:r>
    </w:p>
    <w:p w14:paraId="3603AEAA" w14:textId="77777777" w:rsidR="00EF6091" w:rsidRDefault="00000000">
      <w:pPr>
        <w:pStyle w:val="a5"/>
        <w:spacing w:before="0" w:after="0" w:line="360" w:lineRule="auto"/>
        <w:ind w:firstLineChars="200" w:firstLine="520"/>
        <w:rPr>
          <w:rFonts w:ascii="Futura Bk" w:eastAsia="Futura Bk" w:hAnsi="Futura Bk"/>
          <w:shd w:val="clear" w:color="auto" w:fill="FFFFFF"/>
        </w:rPr>
      </w:pPr>
      <w:r>
        <w:rPr>
          <w:rFonts w:ascii="Futura Bk" w:eastAsia="Futura Bk" w:hAnsi="Futura Bk" w:hint="eastAsia"/>
          <w:shd w:val="clear" w:color="auto" w:fill="FFFFFF"/>
        </w:rPr>
        <w:t>经评选小组审核，满足采购文件要求，以折扣率最低者定为评选基准价，其对应报价得分为满分。</w:t>
      </w:r>
    </w:p>
    <w:p w14:paraId="53E094C2" w14:textId="77777777" w:rsidR="00EF6091" w:rsidRDefault="00000000">
      <w:pPr>
        <w:pStyle w:val="a5"/>
        <w:spacing w:before="0" w:after="0" w:line="360" w:lineRule="auto"/>
        <w:ind w:firstLineChars="200" w:firstLine="522"/>
        <w:rPr>
          <w:rFonts w:ascii="Futura Bk" w:eastAsia="Futura Bk" w:hAnsi="Futura Bk"/>
          <w:shd w:val="clear" w:color="auto" w:fill="FFFFFF"/>
        </w:rPr>
      </w:pPr>
      <w:r>
        <w:rPr>
          <w:rFonts w:ascii="Futura Bk" w:eastAsia="Futura Bk" w:hAnsi="Futura Bk" w:hint="eastAsia"/>
          <w:b/>
          <w:shd w:val="clear" w:color="auto" w:fill="FFFFFF"/>
        </w:rPr>
        <w:t>报价得分＝（评选基准价÷评选最后报价）×价格分值</w:t>
      </w:r>
    </w:p>
    <w:p w14:paraId="27E6F187" w14:textId="77777777" w:rsidR="00EF6091" w:rsidRDefault="00000000">
      <w:pPr>
        <w:pStyle w:val="a5"/>
        <w:tabs>
          <w:tab w:val="left" w:pos="567"/>
        </w:tabs>
        <w:spacing w:before="0" w:after="0" w:line="360" w:lineRule="auto"/>
        <w:rPr>
          <w:rFonts w:ascii="Futura Bk" w:eastAsia="Futura Bk" w:hAnsi="Futura Bk"/>
          <w:b/>
          <w:shd w:val="clear" w:color="auto" w:fill="FFFFFF"/>
        </w:rPr>
      </w:pPr>
      <w:r>
        <w:rPr>
          <w:rFonts w:ascii="Futura Bk" w:eastAsia="Futura Bk" w:hAnsi="Futura Bk" w:hint="eastAsia"/>
          <w:b/>
          <w:shd w:val="clear" w:color="auto" w:fill="FFFFFF"/>
        </w:rPr>
        <w:t>13.3.评分汇总：</w:t>
      </w:r>
    </w:p>
    <w:p w14:paraId="2464B6EA" w14:textId="77777777" w:rsidR="00EF6091" w:rsidRDefault="00000000">
      <w:pPr>
        <w:tabs>
          <w:tab w:val="left" w:pos="1260"/>
        </w:tabs>
        <w:spacing w:line="360" w:lineRule="auto"/>
        <w:ind w:left="181"/>
        <w:rPr>
          <w:rFonts w:ascii="Futura Bk" w:eastAsia="Futura Bk" w:hAnsi="Futura Bk"/>
          <w:b/>
          <w:snapToGrid w:val="0"/>
          <w:kern w:val="0"/>
          <w:sz w:val="24"/>
        </w:rPr>
      </w:pPr>
      <w:r>
        <w:rPr>
          <w:rFonts w:ascii="Futura Bk" w:eastAsia="Futura Bk" w:hAnsi="Futura Bk" w:hint="eastAsia"/>
          <w:b/>
          <w:snapToGrid w:val="0"/>
          <w:kern w:val="0"/>
          <w:sz w:val="24"/>
        </w:rPr>
        <w:t>（1）单项部分得分＝各专家评分总和÷专家人数</w:t>
      </w:r>
    </w:p>
    <w:p w14:paraId="074518C4" w14:textId="77777777" w:rsidR="00EF6091" w:rsidRDefault="00000000">
      <w:pPr>
        <w:tabs>
          <w:tab w:val="left" w:pos="1260"/>
        </w:tabs>
        <w:spacing w:line="360" w:lineRule="auto"/>
        <w:ind w:left="181"/>
        <w:rPr>
          <w:rFonts w:ascii="Futura Bk" w:eastAsia="Futura Bk" w:hAnsi="Futura Bk"/>
          <w:b/>
          <w:bCs/>
          <w:snapToGrid w:val="0"/>
          <w:kern w:val="0"/>
          <w:sz w:val="24"/>
        </w:rPr>
      </w:pPr>
      <w:r>
        <w:rPr>
          <w:rFonts w:ascii="Futura Bk" w:eastAsia="Futura Bk" w:hAnsi="Futura Bk" w:hint="eastAsia"/>
          <w:b/>
          <w:bCs/>
          <w:snapToGrid w:val="0"/>
          <w:kern w:val="0"/>
          <w:sz w:val="24"/>
        </w:rPr>
        <w:t>（2）最终得分＝技术服务得分+商务得分+价格得分（总分精确到二位小数）</w:t>
      </w:r>
    </w:p>
    <w:p w14:paraId="5DE3FF02" w14:textId="77777777" w:rsidR="00EF6091" w:rsidRDefault="00000000">
      <w:pPr>
        <w:pStyle w:val="a5"/>
        <w:numPr>
          <w:ilvl w:val="0"/>
          <w:numId w:val="4"/>
        </w:numPr>
        <w:spacing w:before="0" w:after="0" w:line="360" w:lineRule="auto"/>
        <w:rPr>
          <w:rFonts w:ascii="Futura Bk" w:eastAsia="Futura Bk" w:hAnsi="Futura Bk"/>
          <w:spacing w:val="0"/>
        </w:rPr>
      </w:pPr>
      <w:r>
        <w:rPr>
          <w:rFonts w:ascii="Futura Bk" w:eastAsia="Futura Bk" w:hAnsi="Futura Bk" w:hint="eastAsia"/>
          <w:spacing w:val="0"/>
        </w:rPr>
        <w:t>经评选小组对评审结果的最终确认后将在网上进行结果公告，不在成交供应商名单之列者即默认为落标。</w:t>
      </w:r>
    </w:p>
    <w:p w14:paraId="68C96FA1" w14:textId="77777777" w:rsidR="00EF6091" w:rsidRDefault="00000000">
      <w:pPr>
        <w:pStyle w:val="a5"/>
        <w:numPr>
          <w:ilvl w:val="0"/>
          <w:numId w:val="4"/>
        </w:numPr>
        <w:spacing w:before="0" w:after="0" w:line="360" w:lineRule="auto"/>
        <w:rPr>
          <w:rFonts w:ascii="Futura Bk" w:eastAsia="Futura Bk" w:hAnsi="Futura Bk"/>
          <w:spacing w:val="0"/>
        </w:rPr>
      </w:pPr>
      <w:r>
        <w:rPr>
          <w:rFonts w:ascii="Futura Bk" w:eastAsia="Futura Bk" w:hAnsi="Futura Bk" w:hint="eastAsia"/>
          <w:spacing w:val="0"/>
        </w:rPr>
        <w:t>在结果公告发布后，成交供应商应按采购文件的规定和响应文件的承诺与采购人签订合同。在不违背原采购方案要求和各方认可的文件内容前提下，合同当事人可对合同范本中个别非实质性条款共同协商完善补充修正。</w:t>
      </w:r>
    </w:p>
    <w:p w14:paraId="5F7B866F" w14:textId="77777777" w:rsidR="00EF6091" w:rsidRDefault="00000000">
      <w:pPr>
        <w:pStyle w:val="a5"/>
        <w:numPr>
          <w:ilvl w:val="0"/>
          <w:numId w:val="4"/>
        </w:numPr>
        <w:spacing w:before="0" w:after="0" w:line="360" w:lineRule="auto"/>
        <w:rPr>
          <w:rFonts w:ascii="Futura Bk" w:eastAsia="Futura Bk" w:hAnsi="Futura Bk"/>
          <w:spacing w:val="0"/>
        </w:rPr>
      </w:pPr>
      <w:r>
        <w:rPr>
          <w:rFonts w:ascii="Futura Bk" w:eastAsia="Futura Bk" w:hAnsi="Futura Bk" w:hint="eastAsia"/>
          <w:spacing w:val="0"/>
        </w:rPr>
        <w:t>合同生效后一切行为均适用于《中华人民共和国民法典》，履约期间有违约过错的一方，须承担相应的责任。</w:t>
      </w:r>
    </w:p>
    <w:p w14:paraId="01E324A3" w14:textId="77777777" w:rsidR="00EF6091" w:rsidRDefault="00EF6091">
      <w:pPr>
        <w:rPr>
          <w:rFonts w:hint="eastAsia"/>
        </w:rPr>
      </w:pPr>
    </w:p>
    <w:sectPr w:rsidR="00EF6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Futura Bk">
    <w:altName w:val="Century Gothic"/>
    <w:charset w:val="00"/>
    <w:family w:val="swiss"/>
    <w:pitch w:val="default"/>
    <w:sig w:usb0="00000000"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20129"/>
    <w:multiLevelType w:val="multilevel"/>
    <w:tmpl w:val="1DA20129"/>
    <w:lvl w:ilvl="0">
      <w:start w:val="1"/>
      <w:numFmt w:val="decimal"/>
      <w:lvlText w:val="2.%1."/>
      <w:lvlJc w:val="left"/>
      <w:pPr>
        <w:tabs>
          <w:tab w:val="left" w:pos="1260"/>
        </w:tabs>
        <w:ind w:left="1260" w:hanging="420"/>
      </w:pPr>
      <w:rPr>
        <w:rFonts w:ascii="宋体" w:eastAsia="宋体" w:hAnsi="宋体" w:hint="eastAsia"/>
        <w:b w:val="0"/>
        <w:color w:val="auto"/>
      </w:rPr>
    </w:lvl>
    <w:lvl w:ilvl="1">
      <w:start w:val="1"/>
      <w:numFmt w:val="decimal"/>
      <w:lvlText w:val="9.%2."/>
      <w:lvlJc w:val="left"/>
      <w:pPr>
        <w:tabs>
          <w:tab w:val="left" w:pos="987"/>
        </w:tabs>
        <w:ind w:left="987" w:hanging="567"/>
      </w:pPr>
      <w:rPr>
        <w:rFonts w:ascii="Times New Roman" w:hAnsi="Times New Roman" w:cs="Times New Roman" w:hint="default"/>
        <w:b w:val="0"/>
        <w:color w:val="auto"/>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b/>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1F714B2"/>
    <w:multiLevelType w:val="multilevel"/>
    <w:tmpl w:val="31F714B2"/>
    <w:lvl w:ilvl="0">
      <w:start w:val="1"/>
      <w:numFmt w:val="decimal"/>
      <w:lvlText w:val="28.%1."/>
      <w:lvlJc w:val="left"/>
      <w:pPr>
        <w:ind w:left="1780" w:hanging="420"/>
      </w:pPr>
      <w:rPr>
        <w:rFonts w:hint="eastAsia"/>
      </w:rPr>
    </w:lvl>
    <w:lvl w:ilvl="1">
      <w:start w:val="1"/>
      <w:numFmt w:val="decimal"/>
      <w:lvlText w:val="5.%2."/>
      <w:lvlJc w:val="left"/>
      <w:pPr>
        <w:ind w:left="840" w:hanging="420"/>
      </w:pPr>
      <w:rPr>
        <w:rFonts w:ascii="等线 Light" w:eastAsia="等线 Light" w:hAnsi="等线 Light"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7E2106A"/>
    <w:multiLevelType w:val="multilevel"/>
    <w:tmpl w:val="37E2106A"/>
    <w:lvl w:ilvl="0">
      <w:start w:val="3"/>
      <w:numFmt w:val="decimal"/>
      <w:lvlText w:val="%1."/>
      <w:lvlJc w:val="left"/>
      <w:pPr>
        <w:tabs>
          <w:tab w:val="left" w:pos="1260"/>
        </w:tabs>
        <w:ind w:left="1260" w:hanging="420"/>
      </w:pPr>
      <w:rPr>
        <w:rFonts w:ascii="宋体" w:eastAsia="宋体" w:hAnsi="宋体" w:hint="eastAsia"/>
        <w:b/>
        <w:color w:val="auto"/>
      </w:rPr>
    </w:lvl>
    <w:lvl w:ilvl="1">
      <w:start w:val="1"/>
      <w:numFmt w:val="decimal"/>
      <w:lvlText w:val="9.%2."/>
      <w:lvlJc w:val="left"/>
      <w:pPr>
        <w:tabs>
          <w:tab w:val="left" w:pos="987"/>
        </w:tabs>
        <w:ind w:left="987" w:hanging="567"/>
      </w:pPr>
      <w:rPr>
        <w:rFonts w:ascii="Times New Roman" w:hAnsi="Times New Roman" w:cs="Times New Roman" w:hint="default"/>
        <w:b w:val="0"/>
        <w:color w:val="auto"/>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41202F8E"/>
    <w:multiLevelType w:val="multilevel"/>
    <w:tmpl w:val="41202F8E"/>
    <w:lvl w:ilvl="0">
      <w:start w:val="2"/>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61E0754"/>
    <w:multiLevelType w:val="multilevel"/>
    <w:tmpl w:val="561E0754"/>
    <w:lvl w:ilvl="0">
      <w:start w:val="1"/>
      <w:numFmt w:val="decimal"/>
      <w:lvlText w:val="%1."/>
      <w:lvlJc w:val="left"/>
      <w:pPr>
        <w:tabs>
          <w:tab w:val="left" w:pos="0"/>
        </w:tabs>
        <w:ind w:left="420" w:hanging="420"/>
      </w:pPr>
      <w:rPr>
        <w:rFonts w:hint="eastAsia"/>
        <w:b/>
        <w:sz w:val="24"/>
        <w:szCs w:val="24"/>
      </w:rPr>
    </w:lvl>
    <w:lvl w:ilvl="1">
      <w:start w:val="1"/>
      <w:numFmt w:val="decimal"/>
      <w:lvlText w:val="8.%2."/>
      <w:lvlJc w:val="left"/>
      <w:pPr>
        <w:tabs>
          <w:tab w:val="left" w:pos="0"/>
        </w:tabs>
        <w:ind w:left="840" w:hanging="360"/>
      </w:pPr>
      <w:rPr>
        <w:rFonts w:ascii="等线" w:hAnsi="等线" w:hint="default"/>
        <w:b/>
        <w:i w:val="0"/>
        <w:color w:val="auto"/>
        <w:sz w:val="24"/>
      </w:rPr>
    </w:lvl>
    <w:lvl w:ilvl="2">
      <w:start w:val="1"/>
      <w:numFmt w:val="decimal"/>
      <w:isLgl/>
      <w:lvlText w:val="%1.%2.%3."/>
      <w:lvlJc w:val="left"/>
      <w:pPr>
        <w:tabs>
          <w:tab w:val="left" w:pos="0"/>
        </w:tabs>
        <w:ind w:left="1680" w:hanging="720"/>
      </w:pPr>
      <w:rPr>
        <w:rFonts w:hint="default"/>
      </w:rPr>
    </w:lvl>
    <w:lvl w:ilvl="3">
      <w:start w:val="1"/>
      <w:numFmt w:val="decimal"/>
      <w:isLgl/>
      <w:lvlText w:val="%1.%2.%3.%4."/>
      <w:lvlJc w:val="left"/>
      <w:pPr>
        <w:tabs>
          <w:tab w:val="left" w:pos="0"/>
        </w:tabs>
        <w:ind w:left="2160" w:hanging="720"/>
      </w:pPr>
      <w:rPr>
        <w:rFonts w:hint="default"/>
      </w:rPr>
    </w:lvl>
    <w:lvl w:ilvl="4">
      <w:start w:val="1"/>
      <w:numFmt w:val="decimal"/>
      <w:isLgl/>
      <w:lvlText w:val="%1.%2.%3.%4.%5."/>
      <w:lvlJc w:val="left"/>
      <w:pPr>
        <w:tabs>
          <w:tab w:val="left" w:pos="0"/>
        </w:tabs>
        <w:ind w:left="3000" w:hanging="1080"/>
      </w:pPr>
      <w:rPr>
        <w:rFonts w:hint="default"/>
      </w:rPr>
    </w:lvl>
    <w:lvl w:ilvl="5">
      <w:start w:val="1"/>
      <w:numFmt w:val="decimal"/>
      <w:isLgl/>
      <w:lvlText w:val="%1.%2.%3.%4.%5.%6."/>
      <w:lvlJc w:val="left"/>
      <w:pPr>
        <w:tabs>
          <w:tab w:val="left" w:pos="0"/>
        </w:tabs>
        <w:ind w:left="3480" w:hanging="1080"/>
      </w:pPr>
      <w:rPr>
        <w:rFonts w:hint="default"/>
      </w:rPr>
    </w:lvl>
    <w:lvl w:ilvl="6">
      <w:start w:val="1"/>
      <w:numFmt w:val="decimal"/>
      <w:isLgl/>
      <w:lvlText w:val="%1.%2.%3.%4.%5.%6.%7."/>
      <w:lvlJc w:val="left"/>
      <w:pPr>
        <w:tabs>
          <w:tab w:val="left" w:pos="0"/>
        </w:tabs>
        <w:ind w:left="4320" w:hanging="1440"/>
      </w:pPr>
      <w:rPr>
        <w:rFonts w:hint="default"/>
      </w:rPr>
    </w:lvl>
    <w:lvl w:ilvl="7">
      <w:start w:val="1"/>
      <w:numFmt w:val="decimal"/>
      <w:isLgl/>
      <w:lvlText w:val="%1.%2.%3.%4.%5.%6.%7.%8."/>
      <w:lvlJc w:val="left"/>
      <w:pPr>
        <w:tabs>
          <w:tab w:val="left" w:pos="0"/>
        </w:tabs>
        <w:ind w:left="4800" w:hanging="1440"/>
      </w:pPr>
      <w:rPr>
        <w:rFonts w:hint="default"/>
      </w:rPr>
    </w:lvl>
    <w:lvl w:ilvl="8">
      <w:start w:val="1"/>
      <w:numFmt w:val="decimal"/>
      <w:isLgl/>
      <w:lvlText w:val="%1.%2.%3.%4.%5.%6.%7.%8.%9."/>
      <w:lvlJc w:val="left"/>
      <w:pPr>
        <w:tabs>
          <w:tab w:val="left" w:pos="0"/>
        </w:tabs>
        <w:ind w:left="5640" w:hanging="1800"/>
      </w:pPr>
      <w:rPr>
        <w:rFonts w:hint="default"/>
      </w:rPr>
    </w:lvl>
  </w:abstractNum>
  <w:abstractNum w:abstractNumId="5" w15:restartNumberingAfterBreak="0">
    <w:nsid w:val="5D5C6800"/>
    <w:multiLevelType w:val="multilevel"/>
    <w:tmpl w:val="5D5C6800"/>
    <w:lvl w:ilvl="0">
      <w:start w:val="1"/>
      <w:numFmt w:val="decimal"/>
      <w:lvlText w:val="4.%1."/>
      <w:lvlJc w:val="left"/>
      <w:pPr>
        <w:ind w:left="420" w:hanging="420"/>
      </w:pPr>
      <w:rPr>
        <w:rFonts w:ascii="等线 Light" w:eastAsia="等线 Light" w:hAnsi="等线 Light"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0670803">
    <w:abstractNumId w:val="0"/>
  </w:num>
  <w:num w:numId="2" w16cid:durableId="933198510">
    <w:abstractNumId w:val="2"/>
  </w:num>
  <w:num w:numId="3" w16cid:durableId="2075931142">
    <w:abstractNumId w:val="3"/>
  </w:num>
  <w:num w:numId="4" w16cid:durableId="821122183">
    <w:abstractNumId w:val="4"/>
  </w:num>
  <w:num w:numId="5" w16cid:durableId="2129081384">
    <w:abstractNumId w:val="5"/>
  </w:num>
  <w:num w:numId="6" w16cid:durableId="104648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wN2FlMDExZTIwZDFlYWI5ZDRhOTQ0NTRhNDc1NDQifQ=="/>
  </w:docVars>
  <w:rsids>
    <w:rsidRoot w:val="6AB05497"/>
    <w:rsid w:val="000620D9"/>
    <w:rsid w:val="00DB7CB8"/>
    <w:rsid w:val="00EF6091"/>
    <w:rsid w:val="58735FF4"/>
    <w:rsid w:val="6AB0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27E00"/>
  <w15:docId w15:val="{17573514-E714-4DF2-B419-EF327C4B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等线"/>
      <w:kern w:val="2"/>
      <w:sz w:val="21"/>
      <w:szCs w:val="24"/>
    </w:rPr>
  </w:style>
  <w:style w:type="paragraph" w:styleId="1">
    <w:name w:val="heading 1"/>
    <w:basedOn w:val="a"/>
    <w:next w:val="a"/>
    <w:uiPriority w:val="9"/>
    <w:qFormat/>
    <w:pPr>
      <w:keepNext/>
      <w:keepLines/>
      <w:spacing w:before="100" w:after="200"/>
      <w:jc w:val="left"/>
      <w:outlineLvl w:val="0"/>
    </w:pPr>
    <w:rPr>
      <w:rFonts w:eastAsia="Futura Bk" w:cs="Times New Roman"/>
      <w:b/>
      <w:bCs/>
      <w:kern w:val="44"/>
      <w:sz w:val="44"/>
      <w:szCs w:val="44"/>
    </w:rPr>
  </w:style>
  <w:style w:type="paragraph" w:styleId="2">
    <w:name w:val="heading 2"/>
    <w:basedOn w:val="a"/>
    <w:qFormat/>
    <w:pPr>
      <w:jc w:val="center"/>
      <w:outlineLvl w:val="1"/>
    </w:pPr>
    <w:rPr>
      <w:rFonts w:ascii="Futura Bk" w:eastAsia="Futura Bk" w:hAnsi="Futura Bk" w:cs="Times New Roman"/>
      <w:b/>
      <w:kern w:val="0"/>
      <w:sz w:val="32"/>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Futura Bk" w:hAnsi="Futura Bk" w:cs="Times New Roman"/>
      <w:szCs w:val="21"/>
    </w:rPr>
  </w:style>
  <w:style w:type="paragraph" w:styleId="a4">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a5">
    <w:name w:val="表格文字"/>
    <w:basedOn w:val="a"/>
    <w:qFormat/>
    <w:pPr>
      <w:spacing w:before="25" w:after="25"/>
      <w:jc w:val="left"/>
    </w:pPr>
    <w:rPr>
      <w:rFonts w:cs="Times New Roman"/>
      <w:bCs/>
      <w:spacing w:val="10"/>
      <w:sz w:val="24"/>
    </w:rPr>
  </w:style>
  <w:style w:type="paragraph" w:customStyle="1" w:styleId="p0">
    <w:name w:val="p0"/>
    <w:basedOn w:val="a"/>
    <w:qFormat/>
    <w:pPr>
      <w:widowControl/>
    </w:pPr>
    <w:rPr>
      <w:rFonts w:eastAsia="等线 Light"/>
      <w:kern w:val="0"/>
      <w:szCs w:val="21"/>
    </w:rPr>
  </w:style>
  <w:style w:type="paragraph" w:customStyle="1" w:styleId="10">
    <w:name w:val="正文1"/>
    <w:next w:val="1"/>
    <w:qFormat/>
    <w:pPr>
      <w:widowControl w:val="0"/>
      <w:jc w:val="both"/>
    </w:pPr>
    <w:rPr>
      <w:rFonts w:ascii="Times New Roman" w:eastAsia="宋体" w:hAnsi="Times New Roman"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Murasaki</dc:creator>
  <cp:lastModifiedBy>海燕 张</cp:lastModifiedBy>
  <cp:revision>2</cp:revision>
  <dcterms:created xsi:type="dcterms:W3CDTF">2024-10-24T03:21:00Z</dcterms:created>
  <dcterms:modified xsi:type="dcterms:W3CDTF">2024-11-26T00:19:00Z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6D25475C7D8543F98377997F350C5BF1_11</vt:lpwstr>
  </property>
</Properties>
</file>