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jc w:val="center"/>
        <w:rPr>
          <w:rFonts w:hint="default" w:hAnsi="宋体" w:eastAsia="微软雅黑" w:cs="宋体"/>
          <w:b/>
          <w:sz w:val="44"/>
          <w:szCs w:val="44"/>
          <w:lang w:val="en-US" w:eastAsia="zh-CN"/>
        </w:rPr>
      </w:pPr>
      <w:r>
        <w:rPr>
          <w:rFonts w:hint="eastAsia" w:ascii="微软雅黑" w:hAnsi="微软雅黑" w:eastAsia="微软雅黑" w:cs="微软雅黑"/>
          <w:b/>
          <w:bCs/>
          <w:sz w:val="32"/>
          <w:szCs w:val="32"/>
          <w:lang w:val="en-US" w:eastAsia="zh-CN"/>
        </w:rPr>
        <w:t>医院</w:t>
      </w:r>
      <w:r>
        <w:rPr>
          <w:rFonts w:hint="eastAsia" w:ascii="微软雅黑" w:hAnsi="微软雅黑" w:eastAsia="微软雅黑" w:cs="微软雅黑"/>
          <w:b/>
          <w:bCs/>
          <w:sz w:val="32"/>
          <w:szCs w:val="32"/>
        </w:rPr>
        <w:t>污水站专用灭菌消毒粉供货</w:t>
      </w:r>
      <w:r>
        <w:rPr>
          <w:rFonts w:hint="eastAsia" w:ascii="微软雅黑" w:hAnsi="微软雅黑" w:eastAsia="微软雅黑" w:cs="微软雅黑"/>
          <w:b/>
          <w:bCs/>
          <w:sz w:val="32"/>
          <w:szCs w:val="32"/>
          <w:lang w:val="en-US" w:eastAsia="zh-CN"/>
        </w:rPr>
        <w:t>项目采购需求</w:t>
      </w:r>
    </w:p>
    <w:p>
      <w:pPr>
        <w:pStyle w:val="3"/>
        <w:adjustRightInd w:val="0"/>
        <w:snapToGrid w:val="0"/>
        <w:spacing w:line="360" w:lineRule="auto"/>
        <w:rPr>
          <w:rFonts w:hAnsi="宋体" w:eastAsia="宋体" w:cs="宋体"/>
          <w:b/>
          <w:sz w:val="24"/>
          <w:szCs w:val="24"/>
        </w:rPr>
      </w:pPr>
    </w:p>
    <w:p>
      <w:pPr>
        <w:widowControl/>
        <w:numPr>
          <w:ilvl w:val="0"/>
          <w:numId w:val="0"/>
        </w:numPr>
        <w:shd w:val="clear" w:color="auto" w:fill="FFFFFF"/>
        <w:wordWrap w:val="0"/>
        <w:spacing w:before="240" w:after="156" w:line="240" w:lineRule="auto"/>
        <w:ind w:left="150" w:leftChars="0" w:right="791" w:rightChars="0"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一、项目简介</w:t>
      </w:r>
      <w:bookmarkStart w:id="9" w:name="_GoBack"/>
      <w:bookmarkEnd w:id="9"/>
    </w:p>
    <w:p>
      <w:pPr>
        <w:pStyle w:val="11"/>
        <w:spacing w:line="240" w:lineRule="auto"/>
        <w:ind w:firstLine="600" w:firstLineChars="200"/>
        <w:rPr>
          <w:rFonts w:hint="eastAsia" w:ascii="仿宋" w:hAnsi="仿宋" w:eastAsia="仿宋" w:cs="仿宋"/>
          <w:b w:val="0"/>
          <w:bCs/>
          <w:sz w:val="28"/>
          <w:szCs w:val="28"/>
          <w:lang w:val="en-US" w:eastAsia="zh-CN"/>
        </w:rPr>
      </w:pPr>
      <w:r>
        <w:rPr>
          <w:rFonts w:hint="eastAsia" w:ascii="仿宋" w:hAnsi="仿宋" w:eastAsia="仿宋" w:cs="仿宋"/>
          <w:b w:val="0"/>
          <w:bCs/>
          <w:color w:val="auto"/>
          <w:sz w:val="28"/>
          <w:szCs w:val="28"/>
          <w:lang w:val="en-US" w:eastAsia="zh-CN"/>
        </w:rPr>
        <w:t>我院污水处理系统设计日均处理能力400吨，采用2台</w:t>
      </w:r>
      <w:r>
        <w:rPr>
          <w:rFonts w:hint="eastAsia" w:ascii="仿宋" w:hAnsi="仿宋" w:eastAsia="仿宋" w:cs="仿宋"/>
          <w:b w:val="0"/>
          <w:bCs/>
          <w:snapToGrid w:val="0"/>
          <w:color w:val="000000"/>
          <w:kern w:val="0"/>
          <w:sz w:val="28"/>
          <w:szCs w:val="28"/>
        </w:rPr>
        <w:t>JY-RX-024LD</w:t>
      </w:r>
      <w:r>
        <w:rPr>
          <w:rFonts w:hint="eastAsia" w:ascii="仿宋" w:hAnsi="仿宋" w:eastAsia="仿宋" w:cs="仿宋"/>
          <w:b w:val="0"/>
          <w:bCs/>
          <w:snapToGrid w:val="0"/>
          <w:color w:val="000000"/>
          <w:kern w:val="0"/>
          <w:sz w:val="28"/>
          <w:szCs w:val="28"/>
          <w:lang w:val="en-US" w:eastAsia="zh-CN"/>
        </w:rPr>
        <w:t>消毒粉计量溶解投加设备，现需采购适用于原消毒粉溶解计量投加设备的</w:t>
      </w:r>
      <w:r>
        <w:rPr>
          <w:rFonts w:hint="eastAsia" w:ascii="仿宋" w:hAnsi="仿宋" w:eastAsia="仿宋" w:cs="仿宋"/>
          <w:b w:val="0"/>
          <w:bCs/>
          <w:sz w:val="28"/>
          <w:szCs w:val="28"/>
        </w:rPr>
        <w:t>污水站专用灭菌消毒粉</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采购期限为2年，预算费用为27.5万元/2年。</w:t>
      </w:r>
    </w:p>
    <w:p>
      <w:pPr>
        <w:widowControl/>
        <w:numPr>
          <w:ilvl w:val="0"/>
          <w:numId w:val="0"/>
        </w:numPr>
        <w:shd w:val="clear" w:color="auto" w:fill="FFFFFF"/>
        <w:wordWrap w:val="0"/>
        <w:spacing w:before="240" w:after="156" w:line="240" w:lineRule="auto"/>
        <w:ind w:left="150" w:leftChars="0" w:right="791" w:rightChars="0"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bCs/>
          <w:color w:val="auto"/>
          <w:kern w:val="0"/>
          <w:sz w:val="28"/>
          <w:szCs w:val="28"/>
          <w:lang w:val="en-US" w:eastAsia="zh-CN"/>
        </w:rPr>
        <w:t>二、采购</w:t>
      </w:r>
      <w:r>
        <w:rPr>
          <w:rFonts w:hint="eastAsia" w:ascii="仿宋" w:hAnsi="仿宋" w:eastAsia="仿宋" w:cs="仿宋"/>
          <w:b/>
          <w:bCs/>
          <w:color w:val="auto"/>
          <w:kern w:val="0"/>
          <w:sz w:val="28"/>
          <w:szCs w:val="28"/>
        </w:rPr>
        <w:t>需求一览表</w:t>
      </w:r>
    </w:p>
    <w:tbl>
      <w:tblPr>
        <w:tblStyle w:val="6"/>
        <w:tblW w:w="8566" w:type="dxa"/>
        <w:jc w:val="center"/>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Layout w:type="fixed"/>
        <w:tblCellMar>
          <w:top w:w="0" w:type="dxa"/>
          <w:left w:w="108" w:type="dxa"/>
          <w:bottom w:w="0" w:type="dxa"/>
          <w:right w:w="108" w:type="dxa"/>
        </w:tblCellMar>
      </w:tblPr>
      <w:tblGrid>
        <w:gridCol w:w="698"/>
        <w:gridCol w:w="2775"/>
        <w:gridCol w:w="1140"/>
        <w:gridCol w:w="1140"/>
        <w:gridCol w:w="1140"/>
        <w:gridCol w:w="1673"/>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904"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keepNext w:val="0"/>
              <w:keepLines w:val="0"/>
              <w:widowControl/>
              <w:suppressLineNumbers w:val="0"/>
              <w:spacing w:line="240" w:lineRule="auto"/>
              <w:jc w:val="center"/>
              <w:textAlignment w:val="top"/>
              <w:rPr>
                <w:rFonts w:ascii="宋体" w:hAnsi="宋体" w:eastAsia="宋体" w:cs="宋体"/>
                <w:b/>
                <w:color w:val="000000"/>
                <w:sz w:val="24"/>
                <w:szCs w:val="24"/>
              </w:rPr>
            </w:pPr>
            <w:r>
              <w:rPr>
                <w:rFonts w:hint="eastAsia" w:ascii="仿宋" w:hAnsi="仿宋" w:eastAsia="仿宋" w:cs="仿宋"/>
                <w:b/>
                <w:bCs/>
                <w:i w:val="0"/>
                <w:iCs w:val="0"/>
                <w:color w:val="auto"/>
                <w:kern w:val="0"/>
                <w:sz w:val="24"/>
                <w:szCs w:val="24"/>
                <w:u w:val="none"/>
                <w:lang w:val="en-US" w:eastAsia="zh-CN" w:bidi="ar"/>
              </w:rPr>
              <w:t>序号</w:t>
            </w:r>
          </w:p>
        </w:tc>
        <w:tc>
          <w:tcPr>
            <w:tcW w:w="2775"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keepNext w:val="0"/>
              <w:keepLines w:val="0"/>
              <w:widowControl/>
              <w:suppressLineNumbers w:val="0"/>
              <w:spacing w:line="240" w:lineRule="auto"/>
              <w:jc w:val="center"/>
              <w:textAlignment w:val="top"/>
              <w:rPr>
                <w:rFonts w:ascii="宋体" w:hAnsi="宋体" w:eastAsia="宋体" w:cs="宋体"/>
                <w:b/>
                <w:color w:val="000000"/>
                <w:sz w:val="24"/>
                <w:szCs w:val="24"/>
              </w:rPr>
            </w:pPr>
            <w:r>
              <w:rPr>
                <w:rFonts w:hint="eastAsia" w:ascii="仿宋" w:hAnsi="仿宋" w:eastAsia="仿宋" w:cs="仿宋"/>
                <w:b/>
                <w:bCs/>
                <w:i w:val="0"/>
                <w:iCs w:val="0"/>
                <w:color w:val="auto"/>
                <w:kern w:val="0"/>
                <w:sz w:val="24"/>
                <w:szCs w:val="24"/>
                <w:u w:val="none"/>
                <w:lang w:val="en-US" w:eastAsia="zh-CN" w:bidi="ar"/>
              </w:rPr>
              <w:t>名称</w:t>
            </w:r>
          </w:p>
        </w:tc>
        <w:tc>
          <w:tcPr>
            <w:tcW w:w="114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keepNext w:val="0"/>
              <w:keepLines w:val="0"/>
              <w:widowControl/>
              <w:suppressLineNumbers w:val="0"/>
              <w:spacing w:line="240" w:lineRule="auto"/>
              <w:jc w:val="center"/>
              <w:textAlignment w:val="top"/>
              <w:rPr>
                <w:rFonts w:ascii="宋体" w:hAnsi="宋体" w:eastAsia="宋体" w:cs="宋体"/>
                <w:b/>
                <w:color w:val="000000"/>
                <w:sz w:val="24"/>
                <w:szCs w:val="24"/>
              </w:rPr>
            </w:pPr>
            <w:r>
              <w:rPr>
                <w:rFonts w:hint="eastAsia" w:ascii="仿宋" w:hAnsi="仿宋" w:eastAsia="仿宋" w:cs="仿宋"/>
                <w:b/>
                <w:bCs/>
                <w:i w:val="0"/>
                <w:iCs w:val="0"/>
                <w:color w:val="auto"/>
                <w:kern w:val="0"/>
                <w:sz w:val="24"/>
                <w:szCs w:val="24"/>
                <w:u w:val="none"/>
                <w:lang w:val="en-US" w:eastAsia="zh-CN" w:bidi="ar"/>
              </w:rPr>
              <w:t>规格型号</w:t>
            </w:r>
          </w:p>
        </w:tc>
        <w:tc>
          <w:tcPr>
            <w:tcW w:w="114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keepNext w:val="0"/>
              <w:keepLines w:val="0"/>
              <w:widowControl/>
              <w:suppressLineNumbers w:val="0"/>
              <w:spacing w:line="240" w:lineRule="auto"/>
              <w:jc w:val="center"/>
              <w:textAlignment w:val="top"/>
              <w:rPr>
                <w:rFonts w:ascii="宋体" w:hAnsi="宋体" w:eastAsia="宋体" w:cs="宋体"/>
                <w:b/>
                <w:color w:val="000000"/>
                <w:sz w:val="24"/>
                <w:szCs w:val="24"/>
              </w:rPr>
            </w:pPr>
            <w:r>
              <w:rPr>
                <w:rFonts w:hint="eastAsia" w:ascii="仿宋" w:hAnsi="仿宋" w:eastAsia="仿宋" w:cs="仿宋"/>
                <w:b/>
                <w:bCs/>
                <w:i w:val="0"/>
                <w:iCs w:val="0"/>
                <w:color w:val="auto"/>
                <w:kern w:val="0"/>
                <w:sz w:val="24"/>
                <w:szCs w:val="24"/>
                <w:u w:val="none"/>
                <w:lang w:val="en-US" w:eastAsia="zh-CN" w:bidi="ar"/>
              </w:rPr>
              <w:t>计划采购数量 （公斤）</w:t>
            </w:r>
          </w:p>
        </w:tc>
        <w:tc>
          <w:tcPr>
            <w:tcW w:w="114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keepNext w:val="0"/>
              <w:keepLines w:val="0"/>
              <w:widowControl/>
              <w:suppressLineNumbers w:val="0"/>
              <w:spacing w:line="240" w:lineRule="auto"/>
              <w:jc w:val="center"/>
              <w:textAlignment w:val="top"/>
              <w:rPr>
                <w:rFonts w:hint="eastAsia" w:ascii="宋体" w:hAnsi="宋体" w:eastAsia="宋体" w:cs="宋体"/>
                <w:b/>
                <w:color w:val="000000"/>
                <w:sz w:val="24"/>
                <w:szCs w:val="24"/>
                <w:lang w:val="en-US" w:eastAsia="zh-CN"/>
              </w:rPr>
            </w:pPr>
            <w:r>
              <w:rPr>
                <w:rFonts w:hint="eastAsia" w:ascii="仿宋" w:hAnsi="仿宋" w:eastAsia="仿宋" w:cs="仿宋"/>
                <w:b/>
                <w:color w:val="000000"/>
                <w:sz w:val="24"/>
                <w:szCs w:val="24"/>
                <w:lang w:val="en-US" w:eastAsia="zh-CN"/>
              </w:rPr>
              <w:t>单价（元）</w:t>
            </w:r>
          </w:p>
        </w:tc>
        <w:tc>
          <w:tcPr>
            <w:tcW w:w="1673"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keepNext w:val="0"/>
              <w:keepLines w:val="0"/>
              <w:widowControl/>
              <w:suppressLineNumbers w:val="0"/>
              <w:spacing w:line="240" w:lineRule="auto"/>
              <w:jc w:val="center"/>
              <w:textAlignment w:val="center"/>
              <w:rPr>
                <w:rFonts w:ascii="宋体" w:hAnsi="宋体" w:eastAsia="宋体" w:cs="宋体"/>
                <w:b/>
                <w:color w:val="000000"/>
                <w:sz w:val="24"/>
                <w:szCs w:val="24"/>
              </w:rPr>
            </w:pPr>
            <w:r>
              <w:rPr>
                <w:rFonts w:hint="eastAsia" w:ascii="仿宋" w:hAnsi="仿宋" w:eastAsia="仿宋" w:cs="仿宋"/>
                <w:b/>
                <w:bCs/>
                <w:i w:val="0"/>
                <w:iCs w:val="0"/>
                <w:color w:val="auto"/>
                <w:kern w:val="0"/>
                <w:sz w:val="24"/>
                <w:szCs w:val="24"/>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50"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FFFFFF"/>
            <w:vAlign w:val="center"/>
          </w:tcPr>
          <w:p>
            <w:pPr>
              <w:spacing w:line="240" w:lineRule="auto"/>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Cs/>
                <w:color w:val="000000"/>
                <w:sz w:val="24"/>
                <w:szCs w:val="24"/>
                <w:lang w:val="en-US" w:eastAsia="zh-CN"/>
              </w:rPr>
              <w:t>活性氧</w:t>
            </w:r>
            <w:r>
              <w:rPr>
                <w:rFonts w:hint="eastAsia" w:ascii="仿宋" w:hAnsi="仿宋" w:eastAsia="仿宋" w:cs="仿宋"/>
                <w:bCs/>
                <w:color w:val="000000"/>
                <w:sz w:val="24"/>
                <w:szCs w:val="24"/>
              </w:rPr>
              <w:t>消毒粉</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1公斤（罐装）</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5500</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Cs/>
                <w:color w:val="000000"/>
                <w:sz w:val="24"/>
                <w:szCs w:val="24"/>
                <w:lang w:val="en-US" w:eastAsia="zh-CN"/>
              </w:rPr>
            </w:pPr>
          </w:p>
        </w:tc>
        <w:tc>
          <w:tcPr>
            <w:tcW w:w="167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2年用量</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547"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FFFFFF"/>
            <w:vAlign w:val="center"/>
          </w:tcPr>
          <w:p>
            <w:pPr>
              <w:spacing w:line="240" w:lineRule="auto"/>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Cs/>
                <w:color w:val="000000"/>
                <w:sz w:val="24"/>
                <w:szCs w:val="24"/>
              </w:rPr>
            </w:pP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Cs/>
                <w:color w:val="000000"/>
                <w:sz w:val="24"/>
                <w:szCs w:val="24"/>
              </w:rPr>
            </w:pPr>
          </w:p>
        </w:tc>
        <w:tc>
          <w:tcPr>
            <w:tcW w:w="167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Cs/>
                <w:color w:val="000000"/>
                <w:sz w:val="24"/>
                <w:szCs w:val="24"/>
              </w:rPr>
            </w:pP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FFFFFF"/>
            <w:vAlign w:val="center"/>
          </w:tcPr>
          <w:p>
            <w:pPr>
              <w:spacing w:line="240" w:lineRule="auto"/>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含税合计（元）</w:t>
            </w:r>
          </w:p>
        </w:tc>
        <w:tc>
          <w:tcPr>
            <w:tcW w:w="5093"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Cs/>
                <w:color w:val="000000"/>
                <w:sz w:val="24"/>
                <w:szCs w:val="24"/>
              </w:rPr>
            </w:pPr>
          </w:p>
        </w:tc>
      </w:tr>
    </w:tbl>
    <w:p>
      <w:pPr>
        <w:widowControl/>
        <w:numPr>
          <w:ilvl w:val="0"/>
          <w:numId w:val="0"/>
        </w:numPr>
        <w:shd w:val="clear" w:color="auto" w:fill="FFFFFF"/>
        <w:wordWrap w:val="0"/>
        <w:spacing w:before="240" w:after="156" w:line="240" w:lineRule="auto"/>
        <w:ind w:right="-94" w:rightChars="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备</w:t>
      </w:r>
      <w:r>
        <w:rPr>
          <w:rFonts w:hint="eastAsia" w:ascii="仿宋" w:hAnsi="仿宋" w:eastAsia="仿宋" w:cs="仿宋"/>
          <w:b w:val="0"/>
          <w:bCs w:val="0"/>
          <w:color w:val="auto"/>
          <w:kern w:val="0"/>
          <w:sz w:val="24"/>
          <w:szCs w:val="24"/>
        </w:rPr>
        <w:t>注：</w:t>
      </w:r>
    </w:p>
    <w:p>
      <w:pPr>
        <w:pStyle w:val="11"/>
        <w:numPr>
          <w:ilvl w:val="0"/>
          <w:numId w:val="0"/>
        </w:numPr>
        <w:spacing w:line="240" w:lineRule="auto"/>
        <w:ind w:firstLine="520" w:firstLineChars="20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1、本表所标注的计划采购数量仅作为参考，最终</w:t>
      </w:r>
      <w:r>
        <w:rPr>
          <w:rFonts w:hint="eastAsia" w:ascii="仿宋" w:hAnsi="仿宋" w:eastAsia="仿宋" w:cs="宋体"/>
          <w:b w:val="0"/>
          <w:bCs w:val="0"/>
          <w:color w:val="000000"/>
          <w:kern w:val="0"/>
          <w:sz w:val="24"/>
          <w:szCs w:val="24"/>
        </w:rPr>
        <w:t>以实际采购量为准</w:t>
      </w:r>
      <w:r>
        <w:rPr>
          <w:rFonts w:hint="eastAsia" w:ascii="仿宋" w:hAnsi="仿宋" w:eastAsia="仿宋" w:cs="仿宋"/>
          <w:b w:val="0"/>
          <w:bCs w:val="0"/>
          <w:color w:val="auto"/>
          <w:kern w:val="0"/>
          <w:sz w:val="24"/>
          <w:szCs w:val="24"/>
          <w:lang w:val="en-US" w:eastAsia="zh-CN"/>
        </w:rPr>
        <w:t>。</w:t>
      </w:r>
    </w:p>
    <w:p>
      <w:pPr>
        <w:widowControl/>
        <w:shd w:val="clear" w:color="auto" w:fill="FFFFFF"/>
        <w:wordWrap w:val="0"/>
        <w:spacing w:before="240" w:after="240" w:line="240" w:lineRule="auto"/>
        <w:ind w:right="51" w:firstLine="480" w:firstLineChars="200"/>
        <w:jc w:val="left"/>
        <w:rPr>
          <w:rFonts w:hint="eastAsia" w:hAnsi="宋体" w:eastAsia="宋体" w:cs="宋体"/>
          <w:b/>
          <w:sz w:val="28"/>
          <w:szCs w:val="28"/>
        </w:rPr>
      </w:pP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、报价应包含本项目采购清单的所有内容，费用已包含产品购置、运送、</w:t>
      </w:r>
      <w:r>
        <w:rPr>
          <w:rFonts w:hint="eastAsia" w:ascii="仿宋" w:hAnsi="仿宋" w:eastAsia="仿宋" w:cs="仿宋"/>
          <w:b w:val="0"/>
          <w:bCs w:val="0"/>
          <w:color w:val="auto"/>
          <w:kern w:val="0"/>
          <w:sz w:val="24"/>
          <w:szCs w:val="24"/>
          <w:lang w:val="en-US" w:eastAsia="zh-CN"/>
        </w:rPr>
        <w:t>搬运、</w:t>
      </w:r>
      <w:r>
        <w:rPr>
          <w:rFonts w:hint="eastAsia" w:ascii="仿宋" w:hAnsi="仿宋" w:eastAsia="仿宋" w:cs="仿宋"/>
          <w:b w:val="0"/>
          <w:bCs w:val="0"/>
          <w:color w:val="auto"/>
          <w:kern w:val="0"/>
          <w:sz w:val="24"/>
          <w:szCs w:val="24"/>
        </w:rPr>
        <w:t>包装、</w:t>
      </w:r>
      <w:r>
        <w:rPr>
          <w:rFonts w:hint="eastAsia" w:ascii="仿宋" w:hAnsi="仿宋" w:eastAsia="仿宋" w:cs="仿宋"/>
          <w:b w:val="0"/>
          <w:bCs w:val="0"/>
          <w:color w:val="auto"/>
          <w:kern w:val="0"/>
          <w:sz w:val="24"/>
          <w:szCs w:val="24"/>
          <w:lang w:val="en-US" w:eastAsia="zh-CN"/>
        </w:rPr>
        <w:t>人工费、</w:t>
      </w:r>
      <w:r>
        <w:rPr>
          <w:rFonts w:hint="eastAsia" w:ascii="仿宋" w:hAnsi="仿宋" w:eastAsia="仿宋" w:cs="仿宋"/>
          <w:b w:val="0"/>
          <w:bCs w:val="0"/>
          <w:color w:val="auto"/>
          <w:kern w:val="0"/>
          <w:sz w:val="24"/>
          <w:szCs w:val="24"/>
        </w:rPr>
        <w:t>税金等一切预见或不可预见费用。</w:t>
      </w:r>
    </w:p>
    <w:p>
      <w:pPr>
        <w:spacing w:line="24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三、技术要求</w:t>
      </w:r>
    </w:p>
    <w:tbl>
      <w:tblPr>
        <w:tblStyle w:val="6"/>
        <w:tblW w:w="8252" w:type="dxa"/>
        <w:jc w:val="center"/>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Layout w:type="fixed"/>
        <w:tblCellMar>
          <w:top w:w="0" w:type="dxa"/>
          <w:left w:w="108" w:type="dxa"/>
          <w:bottom w:w="0" w:type="dxa"/>
          <w:right w:w="108" w:type="dxa"/>
        </w:tblCellMar>
      </w:tblPr>
      <w:tblGrid>
        <w:gridCol w:w="850"/>
        <w:gridCol w:w="1065"/>
        <w:gridCol w:w="1545"/>
        <w:gridCol w:w="4792"/>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1058"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产品名称</w:t>
            </w:r>
          </w:p>
        </w:tc>
        <w:tc>
          <w:tcPr>
            <w:tcW w:w="1065"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适用设备型号</w:t>
            </w:r>
          </w:p>
        </w:tc>
        <w:tc>
          <w:tcPr>
            <w:tcW w:w="1545"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货品主要成分</w:t>
            </w:r>
          </w:p>
        </w:tc>
        <w:tc>
          <w:tcPr>
            <w:tcW w:w="4792"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性能要求</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 w:val="0"/>
                <w:bCs/>
                <w:color w:val="000000"/>
                <w:sz w:val="24"/>
                <w:szCs w:val="24"/>
              </w:rPr>
            </w:pPr>
            <w:r>
              <w:rPr>
                <w:rFonts w:hint="eastAsia" w:ascii="仿宋" w:hAnsi="仿宋" w:eastAsia="仿宋" w:cs="仿宋"/>
                <w:bCs/>
                <w:color w:val="000000"/>
                <w:sz w:val="24"/>
                <w:szCs w:val="24"/>
                <w:lang w:val="en-US" w:eastAsia="zh-CN"/>
              </w:rPr>
              <w:t>活性氧</w:t>
            </w:r>
            <w:r>
              <w:rPr>
                <w:rFonts w:hint="eastAsia" w:ascii="仿宋" w:hAnsi="仿宋" w:eastAsia="仿宋" w:cs="仿宋"/>
                <w:b w:val="0"/>
                <w:bCs/>
                <w:color w:val="000000"/>
                <w:sz w:val="24"/>
                <w:szCs w:val="24"/>
              </w:rPr>
              <w:t>消毒粉</w:t>
            </w:r>
          </w:p>
        </w:tc>
        <w:tc>
          <w:tcPr>
            <w:tcW w:w="106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adjustRightInd w:val="0"/>
              <w:spacing w:line="240" w:lineRule="auto"/>
              <w:jc w:val="center"/>
              <w:textAlignment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四川润兴</w:t>
            </w:r>
            <w:r>
              <w:rPr>
                <w:rFonts w:hint="eastAsia" w:ascii="仿宋" w:hAnsi="仿宋" w:eastAsia="仿宋" w:cs="仿宋"/>
                <w:b w:val="0"/>
                <w:bCs/>
                <w:snapToGrid w:val="0"/>
                <w:color w:val="000000"/>
                <w:kern w:val="0"/>
                <w:sz w:val="24"/>
                <w:szCs w:val="24"/>
              </w:rPr>
              <w:t>JY-RX-024LD</w:t>
            </w:r>
            <w:r>
              <w:rPr>
                <w:rFonts w:hint="eastAsia" w:ascii="仿宋" w:hAnsi="仿宋" w:eastAsia="仿宋" w:cs="仿宋"/>
                <w:b w:val="0"/>
                <w:bCs/>
                <w:color w:val="000000"/>
                <w:sz w:val="24"/>
                <w:szCs w:val="24"/>
                <w:lang w:val="en-US" w:eastAsia="zh-CN"/>
              </w:rPr>
              <w:t>型</w:t>
            </w:r>
            <w:r>
              <w:rPr>
                <w:rFonts w:hint="eastAsia" w:ascii="仿宋" w:hAnsi="仿宋" w:eastAsia="仿宋" w:cs="仿宋"/>
                <w:b w:val="0"/>
                <w:bCs/>
                <w:snapToGrid w:val="0"/>
                <w:color w:val="000000"/>
                <w:kern w:val="0"/>
                <w:sz w:val="24"/>
                <w:szCs w:val="24"/>
                <w:lang w:val="en-US" w:eastAsia="zh-CN"/>
              </w:rPr>
              <w:t>消毒粉溶解计量投加设备</w:t>
            </w:r>
          </w:p>
        </w:tc>
        <w:tc>
          <w:tcPr>
            <w:tcW w:w="154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24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单</w:t>
            </w:r>
            <w:r>
              <w:rPr>
                <w:rFonts w:hint="eastAsia" w:ascii="仿宋" w:hAnsi="仿宋" w:eastAsia="仿宋" w:cs="仿宋"/>
                <w:b w:val="0"/>
                <w:bCs/>
                <w:color w:val="000000"/>
                <w:sz w:val="24"/>
                <w:szCs w:val="24"/>
              </w:rPr>
              <w:t>过硫酸氢钾</w:t>
            </w:r>
            <w:r>
              <w:rPr>
                <w:rFonts w:hint="eastAsia" w:ascii="仿宋" w:hAnsi="仿宋" w:eastAsia="仿宋" w:cs="仿宋"/>
                <w:b w:val="0"/>
                <w:bCs/>
                <w:color w:val="000000"/>
                <w:sz w:val="24"/>
                <w:szCs w:val="24"/>
                <w:lang w:val="en-US" w:eastAsia="zh-CN"/>
              </w:rPr>
              <w:t>复合盐</w:t>
            </w:r>
            <w:r>
              <w:rPr>
                <w:rFonts w:hint="eastAsia" w:ascii="仿宋" w:hAnsi="仿宋" w:eastAsia="仿宋" w:cs="仿宋"/>
                <w:b w:val="0"/>
                <w:bCs/>
                <w:color w:val="000000"/>
                <w:sz w:val="24"/>
                <w:szCs w:val="24"/>
              </w:rPr>
              <w:t>（KHSO</w:t>
            </w:r>
            <w:r>
              <w:rPr>
                <w:rFonts w:hint="eastAsia" w:ascii="仿宋" w:hAnsi="仿宋" w:eastAsia="仿宋" w:cs="仿宋"/>
                <w:b w:val="0"/>
                <w:bCs/>
                <w:color w:val="000000"/>
                <w:sz w:val="24"/>
                <w:szCs w:val="24"/>
                <w:vertAlign w:val="subscript"/>
              </w:rPr>
              <w:t>5</w:t>
            </w:r>
            <w:r>
              <w:rPr>
                <w:rFonts w:hint="eastAsia" w:ascii="仿宋" w:hAnsi="仿宋" w:eastAsia="仿宋" w:cs="仿宋"/>
                <w:b w:val="0"/>
                <w:bCs/>
                <w:color w:val="000000"/>
                <w:sz w:val="24"/>
                <w:szCs w:val="24"/>
              </w:rPr>
              <w:t>）18%-2</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%，氯化钠5%-6%</w:t>
            </w:r>
          </w:p>
          <w:p>
            <w:pPr>
              <w:keepNext/>
              <w:adjustRightInd w:val="0"/>
              <w:spacing w:line="240" w:lineRule="auto"/>
              <w:jc w:val="center"/>
              <w:textAlignment w:val="center"/>
              <w:rPr>
                <w:rFonts w:hint="eastAsia" w:ascii="仿宋" w:hAnsi="仿宋" w:eastAsia="仿宋" w:cs="仿宋"/>
                <w:b w:val="0"/>
                <w:bCs/>
                <w:color w:val="000000"/>
                <w:sz w:val="24"/>
                <w:szCs w:val="24"/>
              </w:rPr>
            </w:pPr>
          </w:p>
        </w:tc>
        <w:tc>
          <w:tcPr>
            <w:tcW w:w="4792"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240" w:lineRule="auto"/>
              <w:jc w:val="left"/>
              <w:rPr>
                <w:rFonts w:hint="eastAsia" w:ascii="仿宋" w:hAnsi="仿宋" w:eastAsia="仿宋" w:cs="仿宋"/>
                <w:b w:val="0"/>
                <w:bCs/>
                <w:color w:val="FF0000"/>
                <w:sz w:val="24"/>
                <w:szCs w:val="24"/>
                <w:lang w:eastAsia="zh-CN"/>
              </w:rPr>
            </w:pPr>
            <w:r>
              <w:rPr>
                <w:rFonts w:hint="eastAsia" w:ascii="仿宋" w:hAnsi="仿宋" w:eastAsia="仿宋" w:cs="仿宋"/>
                <w:b w:val="0"/>
                <w:bCs/>
                <w:color w:val="000000"/>
                <w:sz w:val="24"/>
                <w:szCs w:val="24"/>
                <w:lang w:val="en-US" w:eastAsia="zh-CN"/>
              </w:rPr>
              <w:t>消毒时间</w:t>
            </w: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90分钟</w:t>
            </w:r>
            <w:r>
              <w:rPr>
                <w:rFonts w:hint="eastAsia" w:ascii="仿宋" w:hAnsi="仿宋" w:eastAsia="仿宋" w:cs="仿宋"/>
                <w:b w:val="0"/>
                <w:bCs/>
                <w:color w:val="000000"/>
                <w:sz w:val="24"/>
                <w:szCs w:val="24"/>
                <w:lang w:eastAsia="zh-CN"/>
              </w:rPr>
              <w:t>。</w:t>
            </w:r>
          </w:p>
          <w:p>
            <w:pPr>
              <w:spacing w:line="240" w:lineRule="auto"/>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 xml:space="preserve">活性氧含量: 10%-13% </w:t>
            </w:r>
            <w:r>
              <w:rPr>
                <w:rFonts w:hint="eastAsia" w:ascii="仿宋" w:hAnsi="仿宋" w:eastAsia="仿宋" w:cs="仿宋"/>
                <w:b w:val="0"/>
                <w:bCs/>
                <w:color w:val="000000"/>
                <w:sz w:val="24"/>
                <w:szCs w:val="24"/>
                <w:lang w:eastAsia="zh-CN"/>
              </w:rPr>
              <w:t>。</w:t>
            </w:r>
          </w:p>
          <w:p>
            <w:pPr>
              <w:keepNext/>
              <w:adjustRightInd w:val="0"/>
              <w:spacing w:line="240" w:lineRule="auto"/>
              <w:jc w:val="left"/>
              <w:textAlignment w:val="center"/>
              <w:rPr>
                <w:rFonts w:hint="eastAsia" w:ascii="仿宋" w:hAnsi="仿宋" w:eastAsia="仿宋" w:cs="仿宋"/>
                <w:b w:val="0"/>
                <w:bCs/>
                <w:color w:val="000000"/>
                <w:spacing w:val="20"/>
                <w:kern w:val="0"/>
                <w:sz w:val="24"/>
                <w:szCs w:val="24"/>
                <w:lang w:eastAsia="zh-CN"/>
              </w:rPr>
            </w:pPr>
            <w:r>
              <w:rPr>
                <w:rFonts w:hint="eastAsia" w:ascii="仿宋" w:hAnsi="仿宋" w:eastAsia="仿宋" w:cs="仿宋"/>
                <w:b w:val="0"/>
                <w:bCs/>
                <w:color w:val="000000"/>
                <w:spacing w:val="20"/>
                <w:kern w:val="0"/>
                <w:sz w:val="24"/>
                <w:szCs w:val="24"/>
              </w:rPr>
              <w:t>每吨污水粉剂用量：＜</w:t>
            </w:r>
            <w:r>
              <w:rPr>
                <w:rFonts w:hint="eastAsia" w:ascii="仿宋" w:hAnsi="仿宋" w:eastAsia="仿宋" w:cs="仿宋"/>
                <w:b w:val="0"/>
                <w:bCs/>
                <w:color w:val="000000"/>
                <w:spacing w:val="20"/>
                <w:kern w:val="0"/>
                <w:sz w:val="24"/>
                <w:szCs w:val="24"/>
                <w:lang w:val="en-US" w:eastAsia="zh-CN"/>
              </w:rPr>
              <w:t>15</w:t>
            </w:r>
            <w:r>
              <w:rPr>
                <w:rFonts w:hint="eastAsia" w:ascii="仿宋" w:hAnsi="仿宋" w:eastAsia="仿宋" w:cs="仿宋"/>
                <w:b w:val="0"/>
                <w:bCs/>
                <w:color w:val="000000"/>
                <w:spacing w:val="20"/>
                <w:kern w:val="0"/>
                <w:sz w:val="24"/>
                <w:szCs w:val="24"/>
              </w:rPr>
              <w:t>g，根据水质不同略有变化</w:t>
            </w:r>
            <w:r>
              <w:rPr>
                <w:rFonts w:hint="eastAsia" w:ascii="仿宋" w:hAnsi="仿宋" w:eastAsia="仿宋" w:cs="仿宋"/>
                <w:b w:val="0"/>
                <w:bCs/>
                <w:color w:val="000000"/>
                <w:spacing w:val="20"/>
                <w:kern w:val="0"/>
                <w:sz w:val="24"/>
                <w:szCs w:val="24"/>
                <w:lang w:eastAsia="zh-CN"/>
              </w:rPr>
              <w:t>。</w:t>
            </w:r>
          </w:p>
          <w:p>
            <w:pPr>
              <w:keepNext/>
              <w:adjustRightInd w:val="0"/>
              <w:spacing w:line="240" w:lineRule="auto"/>
              <w:jc w:val="left"/>
              <w:textAlignment w:val="center"/>
              <w:rPr>
                <w:rFonts w:hint="default" w:ascii="仿宋" w:hAnsi="仿宋" w:eastAsia="仿宋" w:cs="仿宋"/>
                <w:b w:val="0"/>
                <w:bCs/>
                <w:color w:val="000000"/>
                <w:spacing w:val="20"/>
                <w:kern w:val="0"/>
                <w:sz w:val="24"/>
                <w:szCs w:val="24"/>
                <w:lang w:val="en-US" w:eastAsia="zh-CN"/>
              </w:rPr>
            </w:pPr>
            <w:r>
              <w:rPr>
                <w:rFonts w:hint="eastAsia" w:ascii="仿宋" w:hAnsi="仿宋" w:eastAsia="仿宋" w:cs="仿宋"/>
                <w:b w:val="0"/>
                <w:bCs/>
                <w:color w:val="000000"/>
                <w:spacing w:val="20"/>
                <w:kern w:val="0"/>
                <w:sz w:val="24"/>
                <w:szCs w:val="24"/>
                <w:lang w:val="en-US" w:eastAsia="zh-CN"/>
              </w:rPr>
              <w:t>可灭菌类别：化脓性球菌、肠道致病菌、致病性酵母菌，细菌芽孢、沙门氏菌、志贺氏菌、大肠杆菌、医院感染常见细菌、灭活病毒等。</w:t>
            </w:r>
          </w:p>
        </w:tc>
      </w:tr>
    </w:tbl>
    <w:p>
      <w:pPr>
        <w:numPr>
          <w:ilvl w:val="0"/>
          <w:numId w:val="0"/>
        </w:numPr>
        <w:spacing w:line="240" w:lineRule="auto"/>
        <w:ind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1、供应商</w:t>
      </w:r>
      <w:r>
        <w:rPr>
          <w:rFonts w:hint="eastAsia" w:ascii="仿宋" w:hAnsi="仿宋" w:eastAsia="仿宋" w:cs="仿宋"/>
          <w:b w:val="0"/>
          <w:bCs w:val="0"/>
          <w:color w:val="auto"/>
          <w:sz w:val="28"/>
          <w:szCs w:val="28"/>
        </w:rPr>
        <w:t>所供产品</w:t>
      </w:r>
      <w:r>
        <w:rPr>
          <w:rFonts w:hint="eastAsia" w:ascii="仿宋" w:hAnsi="仿宋" w:eastAsia="仿宋" w:cs="仿宋"/>
          <w:b w:val="0"/>
          <w:bCs w:val="0"/>
          <w:color w:val="auto"/>
          <w:sz w:val="28"/>
          <w:szCs w:val="28"/>
          <w:lang w:val="en-US" w:eastAsia="zh-CN"/>
        </w:rPr>
        <w:t>的</w:t>
      </w:r>
      <w:r>
        <w:rPr>
          <w:rFonts w:hint="eastAsia" w:ascii="仿宋" w:hAnsi="仿宋" w:eastAsia="仿宋" w:cs="仿宋"/>
          <w:b w:val="0"/>
          <w:bCs w:val="0"/>
          <w:color w:val="auto"/>
          <w:sz w:val="28"/>
          <w:szCs w:val="28"/>
        </w:rPr>
        <w:t>各项技术指标</w:t>
      </w:r>
      <w:r>
        <w:rPr>
          <w:rFonts w:hint="eastAsia" w:ascii="仿宋" w:hAnsi="仿宋" w:eastAsia="仿宋" w:cs="仿宋"/>
          <w:b w:val="0"/>
          <w:bCs w:val="0"/>
          <w:color w:val="auto"/>
          <w:sz w:val="28"/>
          <w:szCs w:val="28"/>
          <w:lang w:val="en-US" w:eastAsia="zh-CN"/>
        </w:rPr>
        <w:t>应</w:t>
      </w:r>
      <w:r>
        <w:rPr>
          <w:rFonts w:hint="eastAsia" w:ascii="仿宋" w:hAnsi="仿宋" w:eastAsia="仿宋" w:cs="仿宋"/>
          <w:b w:val="0"/>
          <w:bCs w:val="0"/>
          <w:color w:val="auto"/>
          <w:sz w:val="28"/>
          <w:szCs w:val="28"/>
        </w:rPr>
        <w:t>完全符合国家有关质量检测、环保标准及产品出厂标准，符合最新版《消毒技术规范》。</w:t>
      </w:r>
    </w:p>
    <w:p>
      <w:pPr>
        <w:numPr>
          <w:ilvl w:val="0"/>
          <w:numId w:val="0"/>
        </w:numPr>
        <w:spacing w:line="240" w:lineRule="auto"/>
        <w:ind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2、供应商所供产品对医院污水进行消毒处理后，其</w:t>
      </w:r>
      <w:r>
        <w:rPr>
          <w:rFonts w:hint="eastAsia" w:ascii="仿宋" w:hAnsi="仿宋" w:eastAsia="仿宋" w:cs="仿宋"/>
          <w:b w:val="0"/>
          <w:bCs w:val="0"/>
          <w:color w:val="auto"/>
          <w:sz w:val="28"/>
          <w:szCs w:val="28"/>
        </w:rPr>
        <w:t>污水必须符合《医疗机构水污染物排放标准》（GB18466-2005）的标准，同时控制余氯超标气味性腐蚀。</w:t>
      </w:r>
    </w:p>
    <w:p>
      <w:pPr>
        <w:numPr>
          <w:ilvl w:val="0"/>
          <w:numId w:val="0"/>
        </w:numPr>
        <w:spacing w:line="240" w:lineRule="auto"/>
        <w:ind w:leftChars="0" w:firstLine="560" w:firstLineChars="200"/>
        <w:rPr>
          <w:rFonts w:hint="eastAsia" w:ascii="宋体" w:hAnsi="宋体" w:eastAsia="宋体" w:cs="宋体"/>
          <w:b/>
          <w:bCs/>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b w:val="0"/>
          <w:bCs w:val="0"/>
          <w:color w:val="auto"/>
          <w:sz w:val="28"/>
          <w:szCs w:val="28"/>
          <w:lang w:val="en-US" w:eastAsia="zh-CN"/>
        </w:rPr>
        <w:t>供应商所供产品对医院污水进行消毒处理后，</w:t>
      </w:r>
      <w:r>
        <w:rPr>
          <w:rFonts w:hint="eastAsia" w:ascii="仿宋" w:hAnsi="仿宋" w:eastAsia="仿宋" w:cs="仿宋"/>
          <w:color w:val="auto"/>
          <w:sz w:val="28"/>
          <w:szCs w:val="28"/>
        </w:rPr>
        <w:t>要保证</w:t>
      </w:r>
      <w:r>
        <w:rPr>
          <w:rFonts w:hint="eastAsia" w:ascii="仿宋" w:hAnsi="仿宋" w:eastAsia="仿宋" w:cs="仿宋"/>
          <w:color w:val="auto"/>
          <w:sz w:val="28"/>
          <w:szCs w:val="28"/>
          <w:lang w:val="en-US" w:eastAsia="zh-CN"/>
        </w:rPr>
        <w:t>医院</w:t>
      </w:r>
      <w:r>
        <w:rPr>
          <w:rFonts w:hint="eastAsia" w:ascii="仿宋" w:hAnsi="仿宋" w:eastAsia="仿宋" w:cs="仿宋"/>
          <w:color w:val="auto"/>
          <w:sz w:val="28"/>
          <w:szCs w:val="28"/>
        </w:rPr>
        <w:t>的污水能按排污许可证副本要求达标排放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经佛山市疾控部门及环保部门检测合格。  </w:t>
      </w:r>
      <w:r>
        <w:rPr>
          <w:rFonts w:hint="eastAsia" w:ascii="宋体" w:hAnsi="宋体" w:eastAsia="宋体" w:cs="宋体"/>
          <w:sz w:val="28"/>
          <w:szCs w:val="28"/>
        </w:rPr>
        <w:t xml:space="preserve">                                                 </w:t>
      </w:r>
    </w:p>
    <w:tbl>
      <w:tblPr>
        <w:tblStyle w:val="6"/>
        <w:tblW w:w="8398" w:type="dxa"/>
        <w:jc w:val="center"/>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1352"/>
        <w:gridCol w:w="1644"/>
        <w:gridCol w:w="1578"/>
        <w:gridCol w:w="1635"/>
        <w:gridCol w:w="2189"/>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236"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pPr>
              <w:widowControl/>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水质指标</w:t>
            </w:r>
          </w:p>
        </w:tc>
        <w:tc>
          <w:tcPr>
            <w:tcW w:w="1644"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pPr>
              <w:widowControl/>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沙门氏菌</w:t>
            </w:r>
          </w:p>
        </w:tc>
        <w:tc>
          <w:tcPr>
            <w:tcW w:w="1578"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pPr>
              <w:widowControl/>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志贺氏菌</w:t>
            </w:r>
          </w:p>
        </w:tc>
        <w:tc>
          <w:tcPr>
            <w:tcW w:w="1635"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pPr>
              <w:widowControl/>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pH</w:t>
            </w:r>
          </w:p>
        </w:tc>
        <w:tc>
          <w:tcPr>
            <w:tcW w:w="2189"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pPr>
              <w:widowControl/>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粪大肠杆菌个</w:t>
            </w:r>
            <w:r>
              <w:rPr>
                <w:rFonts w:hint="eastAsia" w:ascii="仿宋" w:hAnsi="仿宋" w:eastAsia="仿宋" w:cs="仿宋"/>
                <w:b/>
                <w:bCs/>
                <w:sz w:val="24"/>
                <w:szCs w:val="24"/>
                <w:lang w:val="en-US" w:eastAsia="zh-CN"/>
              </w:rPr>
              <w:t>MPN</w:t>
            </w:r>
            <w:r>
              <w:rPr>
                <w:rFonts w:hint="eastAsia" w:ascii="仿宋" w:hAnsi="仿宋" w:eastAsia="仿宋" w:cs="仿宋"/>
                <w:b/>
                <w:bCs/>
                <w:sz w:val="24"/>
                <w:szCs w:val="24"/>
              </w:rPr>
              <w:t>/L</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837" w:hRule="atLeast"/>
          <w:jc w:val="center"/>
        </w:trPr>
        <w:tc>
          <w:tcPr>
            <w:tcW w:w="1352"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排放标准</w:t>
            </w:r>
          </w:p>
        </w:tc>
        <w:tc>
          <w:tcPr>
            <w:tcW w:w="1644"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0</w:t>
            </w:r>
          </w:p>
        </w:tc>
        <w:tc>
          <w:tcPr>
            <w:tcW w:w="1578"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0</w:t>
            </w:r>
          </w:p>
        </w:tc>
        <w:tc>
          <w:tcPr>
            <w:tcW w:w="1635"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6-9</w:t>
            </w:r>
          </w:p>
        </w:tc>
        <w:tc>
          <w:tcPr>
            <w:tcW w:w="2189"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≤5000</w:t>
            </w:r>
          </w:p>
        </w:tc>
      </w:tr>
    </w:tbl>
    <w:p>
      <w:pPr>
        <w:numPr>
          <w:ilvl w:val="0"/>
          <w:numId w:val="0"/>
        </w:numPr>
        <w:spacing w:line="360" w:lineRule="auto"/>
        <w:ind w:leftChars="0" w:firstLine="560" w:firstLineChars="200"/>
        <w:rPr>
          <w:rFonts w:ascii="宋体" w:hAnsi="宋体" w:eastAsia="宋体" w:cs="宋体"/>
          <w:b w:val="0"/>
          <w:bCs w:val="0"/>
          <w:color w:val="FF0000"/>
          <w:sz w:val="28"/>
          <w:szCs w:val="28"/>
          <w:lang w:val="zh-CN"/>
        </w:rPr>
      </w:pPr>
      <w:r>
        <w:rPr>
          <w:rFonts w:hint="eastAsia" w:ascii="仿宋" w:hAnsi="仿宋" w:eastAsia="仿宋" w:cs="仿宋"/>
          <w:b w:val="0"/>
          <w:bCs/>
          <w:color w:val="FF0000"/>
          <w:sz w:val="28"/>
          <w:szCs w:val="28"/>
          <w:lang w:val="en-US" w:eastAsia="zh-CN"/>
        </w:rPr>
        <w:t>4、</w:t>
      </w:r>
      <w:r>
        <w:rPr>
          <w:rFonts w:hint="eastAsia" w:ascii="仿宋" w:hAnsi="仿宋" w:eastAsia="仿宋" w:cs="仿宋"/>
          <w:b w:val="0"/>
          <w:bCs/>
          <w:color w:val="FF0000"/>
          <w:sz w:val="28"/>
          <w:szCs w:val="28"/>
          <w:lang w:val="zh-CN"/>
        </w:rPr>
        <w:t>供应商必须具备提供现场技术支援能力，保障医院污水处理设备能与消毒粉相匹配，遇到故障能及时提供技术帮助，在合同期间能确保污水处理系统正常运行。</w:t>
      </w:r>
    </w:p>
    <w:p>
      <w:pPr>
        <w:tabs>
          <w:tab w:val="left" w:pos="676"/>
          <w:tab w:val="left" w:pos="2330"/>
          <w:tab w:val="left" w:pos="9230"/>
        </w:tabs>
        <w:autoSpaceDE w:val="0"/>
        <w:autoSpaceDN w:val="0"/>
        <w:adjustRightInd w:val="0"/>
        <w:snapToGrid w:val="0"/>
        <w:spacing w:line="360" w:lineRule="auto"/>
        <w:ind w:firstLine="562" w:firstLineChars="200"/>
        <w:rPr>
          <w:rFonts w:hint="eastAsia" w:ascii="仿宋" w:hAnsi="仿宋" w:eastAsia="仿宋" w:cs="仿宋"/>
          <w:b/>
          <w:color w:val="auto"/>
          <w:sz w:val="28"/>
          <w:szCs w:val="28"/>
        </w:rPr>
      </w:pPr>
      <w:bookmarkStart w:id="0" w:name="_Toc199815452"/>
      <w:bookmarkStart w:id="1" w:name="_Toc372637770"/>
      <w:bookmarkStart w:id="2" w:name="_Toc262138376"/>
      <w:bookmarkStart w:id="3" w:name="_Toc199736023"/>
      <w:bookmarkStart w:id="4" w:name="_Toc176844904"/>
      <w:bookmarkStart w:id="5" w:name="_Toc199735939"/>
      <w:bookmarkStart w:id="6" w:name="_Toc398564366"/>
      <w:bookmarkStart w:id="7" w:name="_Toc199736969"/>
      <w:bookmarkStart w:id="8" w:name="_Toc351989897"/>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质量</w:t>
      </w:r>
      <w:bookmarkEnd w:id="0"/>
      <w:bookmarkEnd w:id="1"/>
      <w:bookmarkEnd w:id="2"/>
      <w:bookmarkEnd w:id="3"/>
      <w:bookmarkEnd w:id="4"/>
      <w:bookmarkEnd w:id="5"/>
      <w:bookmarkEnd w:id="6"/>
      <w:bookmarkEnd w:id="7"/>
      <w:bookmarkEnd w:id="8"/>
      <w:r>
        <w:rPr>
          <w:rFonts w:hint="eastAsia" w:ascii="仿宋" w:hAnsi="仿宋" w:eastAsia="仿宋" w:cs="仿宋"/>
          <w:b/>
          <w:color w:val="auto"/>
          <w:sz w:val="28"/>
          <w:szCs w:val="28"/>
        </w:rPr>
        <w:t>要求</w:t>
      </w:r>
    </w:p>
    <w:p>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1.粉剂，罐装，干燥不受潮，性质稳定温和，易于贮存。</w:t>
      </w:r>
    </w:p>
    <w:p>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2.不产生对人体有害的副产物，不造成刺激或损害。</w:t>
      </w:r>
      <w:r>
        <w:rPr>
          <w:rFonts w:hint="eastAsia" w:ascii="仿宋" w:hAnsi="仿宋" w:eastAsia="仿宋" w:cs="仿宋"/>
          <w:sz w:val="28"/>
          <w:szCs w:val="28"/>
        </w:rPr>
        <w:t xml:space="preserve"> </w:t>
      </w:r>
    </w:p>
    <w:p>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3.消毒过程中不产生有害物质，终末代谢物均为无害无机盐。</w:t>
      </w:r>
    </w:p>
    <w:p>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4.中标人须提供全新的货品且权属清楚，不得侵害他人的知识产权。</w:t>
      </w:r>
    </w:p>
    <w:p>
      <w:pPr>
        <w:tabs>
          <w:tab w:val="left" w:pos="676"/>
          <w:tab w:val="left" w:pos="2330"/>
          <w:tab w:val="left" w:pos="9230"/>
        </w:tabs>
        <w:autoSpaceDE w:val="0"/>
        <w:autoSpaceDN w:val="0"/>
        <w:adjustRightInd w:val="0"/>
        <w:snapToGrid w:val="0"/>
        <w:spacing w:line="360" w:lineRule="auto"/>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5.每件货品上均应有产品质量检验合格标志，在中国境内可依常规安全合法使用。</w:t>
      </w:r>
    </w:p>
    <w:p>
      <w:pPr>
        <w:tabs>
          <w:tab w:val="left" w:pos="676"/>
          <w:tab w:val="left" w:pos="2330"/>
          <w:tab w:val="left" w:pos="9230"/>
        </w:tabs>
        <w:autoSpaceDE w:val="0"/>
        <w:autoSpaceDN w:val="0"/>
        <w:adjustRightInd w:val="0"/>
        <w:snapToGrid w:val="0"/>
        <w:spacing w:line="360" w:lineRule="auto"/>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6.货品本身质量出现问题，中标人应负责包换、包退，费用由</w:t>
      </w:r>
      <w:r>
        <w:rPr>
          <w:rFonts w:hint="eastAsia" w:ascii="仿宋" w:hAnsi="仿宋" w:eastAsia="仿宋" w:cs="仿宋"/>
          <w:sz w:val="28"/>
          <w:szCs w:val="28"/>
          <w:lang w:val="en-US" w:eastAsia="zh-CN"/>
        </w:rPr>
        <w:t>中</w:t>
      </w:r>
      <w:r>
        <w:rPr>
          <w:rFonts w:hint="eastAsia" w:ascii="仿宋" w:hAnsi="仿宋" w:eastAsia="仿宋" w:cs="仿宋"/>
          <w:sz w:val="28"/>
          <w:szCs w:val="28"/>
        </w:rPr>
        <w:t>标人负担。</w:t>
      </w:r>
    </w:p>
    <w:p>
      <w:pPr>
        <w:tabs>
          <w:tab w:val="left" w:pos="676"/>
          <w:tab w:val="left" w:pos="2330"/>
          <w:tab w:val="left" w:pos="9230"/>
        </w:tabs>
        <w:autoSpaceDE w:val="0"/>
        <w:autoSpaceDN w:val="0"/>
        <w:adjustRightInd w:val="0"/>
        <w:snapToGrid w:val="0"/>
        <w:spacing w:line="360" w:lineRule="auto"/>
        <w:ind w:left="279" w:leftChars="133" w:firstLine="280" w:firstLineChars="100"/>
        <w:rPr>
          <w:rFonts w:hint="eastAsia" w:ascii="仿宋" w:hAnsi="仿宋" w:eastAsia="仿宋" w:cs="仿宋"/>
          <w:sz w:val="28"/>
          <w:szCs w:val="28"/>
          <w:lang w:val="zh-CN"/>
        </w:rPr>
      </w:pPr>
      <w:r>
        <w:rPr>
          <w:rFonts w:hint="eastAsia" w:ascii="仿宋" w:hAnsi="仿宋" w:eastAsia="仿宋" w:cs="仿宋"/>
          <w:sz w:val="28"/>
          <w:szCs w:val="28"/>
        </w:rPr>
        <w:t>7.</w:t>
      </w:r>
      <w:r>
        <w:rPr>
          <w:rFonts w:hint="eastAsia" w:ascii="仿宋" w:hAnsi="仿宋" w:eastAsia="仿宋" w:cs="仿宋"/>
          <w:sz w:val="28"/>
          <w:szCs w:val="28"/>
          <w:lang w:val="zh-CN"/>
        </w:rPr>
        <w:t>投标人的明细表需列明产品的品牌、厂商、产地、符合上述规格技术参数。</w:t>
      </w:r>
    </w:p>
    <w:p>
      <w:pPr>
        <w:tabs>
          <w:tab w:val="left" w:pos="676"/>
          <w:tab w:val="left" w:pos="2330"/>
          <w:tab w:val="left" w:pos="9230"/>
        </w:tabs>
        <w:autoSpaceDE w:val="0"/>
        <w:autoSpaceDN w:val="0"/>
        <w:adjustRightInd w:val="0"/>
        <w:snapToGrid w:val="0"/>
        <w:spacing w:line="240" w:lineRule="auto"/>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商务要求</w:t>
      </w:r>
    </w:p>
    <w:p>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kern w:val="0"/>
          <w:sz w:val="28"/>
          <w:szCs w:val="28"/>
          <w:lang w:val="en-US" w:eastAsia="zh-CN"/>
        </w:rPr>
      </w:pPr>
      <w:r>
        <w:rPr>
          <w:rFonts w:hint="eastAsia" w:ascii="仿宋" w:hAnsi="仿宋" w:eastAsia="仿宋" w:cs="仿宋"/>
          <w:b w:val="0"/>
          <w:bCs w:val="0"/>
          <w:color w:val="auto"/>
          <w:kern w:val="0"/>
          <w:sz w:val="28"/>
          <w:szCs w:val="28"/>
        </w:rPr>
        <w:t>1、</w:t>
      </w:r>
      <w:r>
        <w:rPr>
          <w:rFonts w:hint="eastAsia" w:ascii="仿宋" w:hAnsi="仿宋" w:eastAsia="仿宋" w:cs="仿宋"/>
          <w:kern w:val="0"/>
          <w:sz w:val="28"/>
          <w:szCs w:val="28"/>
          <w:lang w:val="en-US" w:eastAsia="zh-CN"/>
        </w:rPr>
        <w:t>供应商须具有有效的中华人民共和国企业营业执照、组织机构代码证、税务登记证(《组织机构代码证》、《税务登记证》可递交三证合一的《企业营业执照》)。</w:t>
      </w:r>
    </w:p>
    <w:p>
      <w:pPr>
        <w:numPr>
          <w:ilvl w:val="0"/>
          <w:numId w:val="0"/>
        </w:numPr>
        <w:spacing w:line="240" w:lineRule="auto"/>
        <w:ind w:leftChars="0"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2、供应商必须</w:t>
      </w:r>
      <w:r>
        <w:rPr>
          <w:rFonts w:hint="eastAsia" w:ascii="仿宋" w:hAnsi="仿宋" w:eastAsia="仿宋" w:cs="仿宋"/>
          <w:sz w:val="28"/>
          <w:szCs w:val="28"/>
          <w:lang w:val="zh-CN"/>
        </w:rPr>
        <w:t>必须具备有效的《消毒产品生产企业卫生许可证》，符合国家相关标准。</w:t>
      </w:r>
    </w:p>
    <w:p>
      <w:pPr>
        <w:pStyle w:val="11"/>
        <w:spacing w:line="240" w:lineRule="auto"/>
        <w:ind w:left="0" w:leftChars="0" w:firstLine="639" w:firstLineChars="213"/>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3、供应商（含其授权的下属单位、分支机构）在近三年内（自谈判邀请函发出之日起往前推三年）参与全国政府采购活动中没有违法违纪行为。</w:t>
      </w:r>
    </w:p>
    <w:p>
      <w:pPr>
        <w:pStyle w:val="11"/>
        <w:spacing w:line="240" w:lineRule="auto"/>
        <w:ind w:left="0" w:leftChars="0" w:firstLine="639" w:firstLineChars="213"/>
        <w:rPr>
          <w:rFonts w:hint="default" w:ascii="仿宋" w:hAnsi="仿宋" w:eastAsia="仿宋" w:cs="仿宋"/>
          <w:color w:val="FF0000"/>
          <w:kern w:val="0"/>
          <w:sz w:val="28"/>
          <w:szCs w:val="28"/>
          <w:lang w:val="en-US" w:eastAsia="zh-CN"/>
        </w:rPr>
      </w:pPr>
      <w:r>
        <w:rPr>
          <w:rFonts w:hint="eastAsia" w:ascii="仿宋" w:hAnsi="仿宋" w:eastAsia="仿宋" w:cs="仿宋"/>
          <w:color w:val="FF0000"/>
          <w:kern w:val="0"/>
          <w:sz w:val="28"/>
          <w:szCs w:val="28"/>
          <w:lang w:val="en-US" w:eastAsia="zh-CN"/>
        </w:rPr>
        <w:t>4、供应商需提供3天用量（8公斤/天）的</w:t>
      </w:r>
      <w:r>
        <w:rPr>
          <w:rFonts w:hint="eastAsia" w:ascii="仿宋" w:hAnsi="仿宋" w:eastAsia="仿宋" w:cs="仿宋"/>
          <w:bCs/>
          <w:color w:val="FF0000"/>
          <w:sz w:val="28"/>
          <w:szCs w:val="28"/>
        </w:rPr>
        <w:t>消毒粉</w:t>
      </w:r>
      <w:r>
        <w:rPr>
          <w:rFonts w:hint="eastAsia" w:ascii="仿宋" w:hAnsi="仿宋" w:eastAsia="仿宋" w:cs="仿宋"/>
          <w:bCs/>
          <w:color w:val="FF0000"/>
          <w:sz w:val="28"/>
          <w:szCs w:val="28"/>
          <w:lang w:val="en-US" w:eastAsia="zh-CN"/>
        </w:rPr>
        <w:t>供我院试用，以便测试药粉与</w:t>
      </w:r>
      <w:r>
        <w:rPr>
          <w:rFonts w:hint="eastAsia" w:ascii="仿宋" w:hAnsi="仿宋" w:eastAsia="仿宋" w:cs="仿宋"/>
          <w:b w:val="0"/>
          <w:bCs/>
          <w:snapToGrid w:val="0"/>
          <w:color w:val="FF0000"/>
          <w:kern w:val="0"/>
          <w:sz w:val="28"/>
          <w:szCs w:val="28"/>
          <w:lang w:val="en-US" w:eastAsia="zh-CN"/>
        </w:rPr>
        <w:t>消毒粉溶解计量投加设备的兼容性和消毒效果。</w:t>
      </w:r>
    </w:p>
    <w:p>
      <w:pPr>
        <w:widowControl/>
        <w:shd w:val="clear" w:color="auto" w:fill="FFFFFF"/>
        <w:wordWrap w:val="0"/>
        <w:spacing w:before="240" w:after="240" w:line="240" w:lineRule="auto"/>
        <w:ind w:right="51" w:firstLine="560" w:firstLineChars="200"/>
        <w:jc w:val="left"/>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5、</w:t>
      </w:r>
      <w:r>
        <w:rPr>
          <w:rFonts w:hint="eastAsia" w:ascii="仿宋" w:hAnsi="仿宋" w:eastAsia="仿宋" w:cs="仿宋"/>
          <w:b w:val="0"/>
          <w:bCs w:val="0"/>
          <w:color w:val="000000"/>
          <w:kern w:val="0"/>
          <w:sz w:val="28"/>
          <w:szCs w:val="28"/>
        </w:rPr>
        <w:t>供应商在收到采购方订单后，</w:t>
      </w:r>
      <w:r>
        <w:rPr>
          <w:rFonts w:hint="eastAsia" w:ascii="仿宋" w:hAnsi="仿宋" w:eastAsia="仿宋" w:cs="仿宋"/>
          <w:b/>
          <w:bCs/>
          <w:color w:val="FF0000"/>
          <w:kern w:val="0"/>
          <w:sz w:val="28"/>
          <w:szCs w:val="28"/>
          <w:lang w:val="en-US" w:eastAsia="zh-CN"/>
        </w:rPr>
        <w:t>5</w:t>
      </w:r>
      <w:r>
        <w:rPr>
          <w:rFonts w:hint="eastAsia" w:ascii="仿宋" w:hAnsi="仿宋" w:eastAsia="仿宋" w:cs="仿宋"/>
          <w:b w:val="0"/>
          <w:bCs w:val="0"/>
          <w:color w:val="000000"/>
          <w:kern w:val="0"/>
          <w:sz w:val="28"/>
          <w:szCs w:val="28"/>
        </w:rPr>
        <w:t>天内交货，如有特殊情况，双方可协商送货时间；供应商应在约定的时间内将符合采购方要求的货物如数送到采购方指定地点；除客观不可抗力情况外，供应商不得推迟送货。如确需延迟送货的，供应商应告知采购方并征得采购方同意。</w:t>
      </w:r>
    </w:p>
    <w:p>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、采购方在验收货品时，如发现货品的型号、规格、品牌、质量等不符合要求时，供应商应无条件退货或换货。</w:t>
      </w:r>
    </w:p>
    <w:p>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rPr>
        <w:t>产品为原制造商制造的全新合格产品，</w:t>
      </w:r>
      <w:r>
        <w:rPr>
          <w:rFonts w:hint="eastAsia" w:ascii="仿宋" w:hAnsi="仿宋" w:eastAsia="仿宋" w:cs="仿宋"/>
          <w:b w:val="0"/>
          <w:bCs w:val="0"/>
          <w:color w:val="auto"/>
          <w:kern w:val="0"/>
          <w:sz w:val="28"/>
          <w:szCs w:val="28"/>
          <w:lang w:val="en-US" w:eastAsia="zh-CN"/>
        </w:rPr>
        <w:t>生产日期必须是半年内生产的全新产品。</w:t>
      </w:r>
      <w:r>
        <w:rPr>
          <w:rFonts w:hint="eastAsia" w:ascii="仿宋" w:hAnsi="仿宋" w:eastAsia="仿宋" w:cs="仿宋"/>
          <w:b w:val="0"/>
          <w:bCs w:val="0"/>
          <w:color w:val="auto"/>
          <w:kern w:val="0"/>
          <w:sz w:val="28"/>
          <w:szCs w:val="28"/>
        </w:rPr>
        <w:t>来源渠道合法；无侵权行为、表面无划损、无破损、无任何缺陷隐患及安全隐患、在中国境内可依常规安全合法使用，采购人随机抽查产品的出厂证明或产品合格证明。</w:t>
      </w:r>
    </w:p>
    <w:p>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color w:val="auto"/>
          <w:sz w:val="28"/>
          <w:szCs w:val="28"/>
        </w:rPr>
      </w:pPr>
      <w:r>
        <w:rPr>
          <w:rFonts w:hint="eastAsia" w:ascii="仿宋" w:hAnsi="仿宋" w:eastAsia="仿宋" w:cs="仿宋"/>
          <w:b w:val="0"/>
          <w:bCs w:val="0"/>
          <w:color w:val="auto"/>
          <w:kern w:val="0"/>
          <w:sz w:val="28"/>
          <w:szCs w:val="28"/>
          <w:lang w:val="en-US" w:eastAsia="zh-CN"/>
        </w:rPr>
        <w:t>8</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highlight w:val="none"/>
          <w:lang w:val="en-US" w:eastAsia="zh-CN"/>
        </w:rPr>
        <w:t>供应商提供的</w:t>
      </w:r>
      <w:r>
        <w:rPr>
          <w:rFonts w:hint="eastAsia" w:ascii="仿宋" w:hAnsi="仿宋" w:eastAsia="仿宋" w:cs="仿宋"/>
          <w:color w:val="auto"/>
          <w:sz w:val="28"/>
          <w:szCs w:val="28"/>
          <w:vertAlign w:val="baseline"/>
          <w:lang w:val="en-US" w:eastAsia="zh-CN"/>
        </w:rPr>
        <w:t>产品</w:t>
      </w:r>
      <w:r>
        <w:rPr>
          <w:rFonts w:hint="eastAsia" w:ascii="仿宋" w:hAnsi="仿宋" w:eastAsia="仿宋" w:cs="仿宋"/>
          <w:b w:val="0"/>
          <w:bCs w:val="0"/>
          <w:color w:val="auto"/>
          <w:kern w:val="0"/>
          <w:sz w:val="28"/>
          <w:szCs w:val="28"/>
        </w:rPr>
        <w:t>实行质量三包（包质量、包退、包换），三包产品必须按照国家要求条件执行。</w:t>
      </w:r>
    </w:p>
    <w:p>
      <w:pPr>
        <w:spacing w:line="240" w:lineRule="auto"/>
        <w:ind w:left="0" w:leftChars="0" w:firstLine="638" w:firstLineChars="228"/>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9</w:t>
      </w:r>
      <w:r>
        <w:rPr>
          <w:rFonts w:hint="eastAsia" w:ascii="仿宋" w:hAnsi="仿宋" w:eastAsia="仿宋" w:cs="仿宋"/>
          <w:b w:val="0"/>
          <w:bCs w:val="0"/>
          <w:color w:val="auto"/>
          <w:kern w:val="0"/>
          <w:sz w:val="28"/>
          <w:szCs w:val="28"/>
        </w:rPr>
        <w:t>、因生产厂家停产造成的缺货或断货，成交供应商无法供应的货物，征得采购方同意后，可以用优于或等于同质量的货物代替（提供生产厂家停产的证明材料及替代货物质量等于或优于原货物的依据），价格不变。</w:t>
      </w:r>
    </w:p>
    <w:p>
      <w:pPr>
        <w:widowControl/>
        <w:shd w:val="clear" w:color="auto" w:fill="FFFFFF"/>
        <w:wordWrap w:val="0"/>
        <w:spacing w:before="240" w:after="240" w:line="240" w:lineRule="auto"/>
        <w:ind w:right="51" w:firstLine="560" w:firstLineChars="200"/>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10、</w:t>
      </w:r>
      <w:r>
        <w:rPr>
          <w:rFonts w:hint="eastAsia" w:ascii="仿宋" w:hAnsi="仿宋" w:eastAsia="仿宋" w:cs="仿宋"/>
          <w:color w:val="auto"/>
          <w:spacing w:val="10"/>
          <w:sz w:val="28"/>
          <w:szCs w:val="28"/>
        </w:rPr>
        <w:t>报价方式为广东省佛山市禅城区目的地服务价，均涵盖报价要求之一切开支费用，</w:t>
      </w:r>
      <w:r>
        <w:rPr>
          <w:rFonts w:hint="eastAsia" w:ascii="仿宋" w:hAnsi="仿宋" w:eastAsia="仿宋" w:cs="仿宋"/>
          <w:b w:val="0"/>
          <w:bCs w:val="0"/>
          <w:color w:val="auto"/>
          <w:kern w:val="0"/>
          <w:sz w:val="28"/>
          <w:szCs w:val="28"/>
        </w:rPr>
        <w:t>包含产品购置、运送、包装、</w:t>
      </w:r>
      <w:r>
        <w:rPr>
          <w:rFonts w:hint="eastAsia" w:ascii="仿宋" w:hAnsi="仿宋" w:eastAsia="仿宋" w:cs="仿宋"/>
          <w:b w:val="0"/>
          <w:bCs w:val="0"/>
          <w:color w:val="auto"/>
          <w:kern w:val="0"/>
          <w:sz w:val="28"/>
          <w:szCs w:val="28"/>
          <w:lang w:val="en-US" w:eastAsia="zh-CN"/>
        </w:rPr>
        <w:t>人工费、</w:t>
      </w:r>
      <w:r>
        <w:rPr>
          <w:rFonts w:hint="eastAsia" w:ascii="仿宋" w:hAnsi="仿宋" w:eastAsia="仿宋" w:cs="仿宋"/>
          <w:b w:val="0"/>
          <w:bCs w:val="0"/>
          <w:color w:val="auto"/>
          <w:kern w:val="0"/>
          <w:sz w:val="28"/>
          <w:szCs w:val="28"/>
        </w:rPr>
        <w:t>税金等一切预见或不可预见</w:t>
      </w:r>
      <w:r>
        <w:rPr>
          <w:rFonts w:hint="eastAsia" w:ascii="仿宋" w:hAnsi="仿宋" w:eastAsia="仿宋" w:cs="仿宋"/>
          <w:b w:val="0"/>
          <w:bCs w:val="0"/>
          <w:color w:val="auto"/>
          <w:kern w:val="0"/>
          <w:sz w:val="28"/>
          <w:szCs w:val="28"/>
          <w:lang w:val="en-US" w:eastAsia="zh-CN"/>
        </w:rPr>
        <w:t>等</w:t>
      </w:r>
      <w:r>
        <w:rPr>
          <w:rFonts w:hint="eastAsia" w:ascii="仿宋" w:hAnsi="仿宋" w:eastAsia="仿宋" w:cs="仿宋"/>
          <w:b w:val="0"/>
          <w:bCs w:val="0"/>
          <w:color w:val="auto"/>
          <w:kern w:val="0"/>
          <w:sz w:val="28"/>
          <w:szCs w:val="28"/>
        </w:rPr>
        <w:t>费用。</w:t>
      </w:r>
    </w:p>
    <w:p>
      <w:pPr>
        <w:pStyle w:val="2"/>
        <w:kinsoku w:val="0"/>
        <w:overflowPunct w:val="0"/>
        <w:spacing w:after="0" w:line="240" w:lineRule="auto"/>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11、付款方式为每月结算一次。</w:t>
      </w:r>
    </w:p>
    <w:p>
      <w:pPr>
        <w:pStyle w:val="2"/>
        <w:kinsoku w:val="0"/>
        <w:overflowPunct w:val="0"/>
        <w:spacing w:after="0" w:line="240" w:lineRule="auto"/>
        <w:ind w:firstLine="600" w:firstLineChars="200"/>
        <w:rPr>
          <w:rFonts w:hint="eastAsia" w:ascii="仿宋" w:hAnsi="仿宋" w:eastAsia="仿宋" w:cs="仿宋"/>
          <w:color w:val="auto"/>
          <w:spacing w:val="10"/>
          <w:sz w:val="28"/>
          <w:szCs w:val="28"/>
          <w:lang w:val="en-US" w:eastAsia="zh-CN"/>
        </w:rPr>
      </w:pPr>
    </w:p>
    <w:p>
      <w:pPr>
        <w:tabs>
          <w:tab w:val="left" w:pos="676"/>
          <w:tab w:val="left" w:pos="2330"/>
          <w:tab w:val="left" w:pos="9230"/>
        </w:tabs>
        <w:autoSpaceDE w:val="0"/>
        <w:autoSpaceDN w:val="0"/>
        <w:adjustRightInd w:val="0"/>
        <w:snapToGrid w:val="0"/>
        <w:spacing w:line="360" w:lineRule="auto"/>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后勤管理科</w:t>
      </w:r>
    </w:p>
    <w:p>
      <w:pPr>
        <w:tabs>
          <w:tab w:val="left" w:pos="676"/>
          <w:tab w:val="left" w:pos="2330"/>
          <w:tab w:val="left" w:pos="9230"/>
        </w:tabs>
        <w:autoSpaceDE w:val="0"/>
        <w:autoSpaceDN w:val="0"/>
        <w:adjustRightInd w:val="0"/>
        <w:snapToGrid w:val="0"/>
        <w:spacing w:line="360" w:lineRule="auto"/>
        <w:jc w:val="righ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2024年5月28日</w:t>
      </w:r>
    </w:p>
    <w:p>
      <w:pPr>
        <w:tabs>
          <w:tab w:val="left" w:pos="676"/>
          <w:tab w:val="left" w:pos="2330"/>
          <w:tab w:val="left" w:pos="9230"/>
        </w:tabs>
        <w:autoSpaceDE w:val="0"/>
        <w:autoSpaceDN w:val="0"/>
        <w:adjustRightInd w:val="0"/>
        <w:snapToGrid w:val="0"/>
        <w:spacing w:line="360" w:lineRule="auto"/>
        <w:rPr>
          <w:rFonts w:hint="default" w:ascii="仿宋" w:hAnsi="仿宋" w:eastAsia="仿宋" w:cs="仿宋"/>
          <w:b/>
          <w:sz w:val="28"/>
          <w:szCs w:val="28"/>
          <w:lang w:val="en-US" w:eastAsia="zh-CN"/>
        </w:rPr>
      </w:pPr>
    </w:p>
    <w:p>
      <w:pPr>
        <w:pStyle w:val="3"/>
        <w:adjustRightInd w:val="0"/>
        <w:snapToGrid w:val="0"/>
        <w:spacing w:line="360" w:lineRule="auto"/>
        <w:rPr>
          <w:rFonts w:hAnsi="宋体" w:eastAsia="宋体" w:cs="宋体"/>
          <w:b/>
          <w:sz w:val="28"/>
          <w:szCs w:val="28"/>
        </w:rPr>
      </w:pPr>
    </w:p>
    <w:p>
      <w:pPr>
        <w:rPr>
          <w:sz w:val="28"/>
          <w:szCs w:val="28"/>
        </w:rPr>
      </w:pPr>
    </w:p>
    <w:sectPr>
      <w:pgSz w:w="11906" w:h="16838"/>
      <w:pgMar w:top="1157" w:right="1800" w:bottom="115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M2Y3NDA0ZDQ4ZWE4NWJkM2Q0NDI1ODBhODI3OWQifQ=="/>
  </w:docVars>
  <w:rsids>
    <w:rsidRoot w:val="5CEB04A6"/>
    <w:rsid w:val="002A7452"/>
    <w:rsid w:val="00532A6E"/>
    <w:rsid w:val="00737738"/>
    <w:rsid w:val="007F7959"/>
    <w:rsid w:val="008D73A8"/>
    <w:rsid w:val="00A533C6"/>
    <w:rsid w:val="00AC49C5"/>
    <w:rsid w:val="00AE6EF8"/>
    <w:rsid w:val="00B2302D"/>
    <w:rsid w:val="00B310BD"/>
    <w:rsid w:val="00B90895"/>
    <w:rsid w:val="00C356D1"/>
    <w:rsid w:val="00D760EC"/>
    <w:rsid w:val="00DD3CA7"/>
    <w:rsid w:val="00DE648C"/>
    <w:rsid w:val="00F67B03"/>
    <w:rsid w:val="0DDF2D23"/>
    <w:rsid w:val="23206841"/>
    <w:rsid w:val="38697D9E"/>
    <w:rsid w:val="441B0E91"/>
    <w:rsid w:val="519824DD"/>
    <w:rsid w:val="55BE3950"/>
    <w:rsid w:val="5CEB04A6"/>
    <w:rsid w:val="63A37F0F"/>
    <w:rsid w:val="64544619"/>
    <w:rsid w:val="680D53E5"/>
    <w:rsid w:val="6D535020"/>
    <w:rsid w:val="710E0338"/>
    <w:rsid w:val="7B062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3">
    <w:name w:val="Plain Text"/>
    <w:basedOn w:val="1"/>
    <w:qFormat/>
    <w:uiPriority w:val="0"/>
    <w:rPr>
      <w:rFonts w:ascii="宋体" w:hAnsi="Courier New" w:cs="Courier New"/>
      <w:szCs w:val="21"/>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kern w:val="2"/>
      <w:sz w:val="18"/>
      <w:szCs w:val="18"/>
    </w:rPr>
  </w:style>
  <w:style w:type="character" w:customStyle="1" w:styleId="9">
    <w:name w:val="页脚 Char"/>
    <w:basedOn w:val="7"/>
    <w:link w:val="4"/>
    <w:autoRedefine/>
    <w:qFormat/>
    <w:uiPriority w:val="0"/>
    <w:rPr>
      <w:kern w:val="2"/>
      <w:sz w:val="18"/>
      <w:szCs w:val="18"/>
    </w:rPr>
  </w:style>
  <w:style w:type="paragraph" w:styleId="10">
    <w:name w:val="List Paragraph"/>
    <w:basedOn w:val="1"/>
    <w:autoRedefine/>
    <w:unhideWhenUsed/>
    <w:qFormat/>
    <w:uiPriority w:val="99"/>
    <w:pPr>
      <w:ind w:firstLine="420" w:firstLineChars="200"/>
    </w:pPr>
  </w:style>
  <w:style w:type="paragraph" w:customStyle="1" w:styleId="11">
    <w:name w:val="表格文字"/>
    <w:basedOn w:val="1"/>
    <w:autoRedefine/>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Eza</Company>
  <Pages>4</Pages>
  <Words>1692</Words>
  <Characters>1778</Characters>
  <Lines>10</Lines>
  <Paragraphs>3</Paragraphs>
  <TotalTime>33</TotalTime>
  <ScaleCrop>false</ScaleCrop>
  <LinksUpToDate>false</LinksUpToDate>
  <CharactersWithSpaces>1878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2018-04-09T03:33:00Z</dcterms:created>
  <dc:creator>Ourselves</dc:creator>
  <cp:lastModifiedBy>Cyq琪</cp:lastModifiedBy>
  <dcterms:modified xsi:type="dcterms:W3CDTF">2024-05-29T08:32:32Z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FD62B74EFAFF4AA0BDBDAD448D8C68F1_13</vt:lpwstr>
  </property>
</Properties>
</file>