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宋体" w:hAnsi="宋体" w:eastAsia="宋体" w:cs="宋体"/>
          <w:b/>
          <w:bCs/>
          <w:i w:val="0"/>
          <w:iCs w:val="0"/>
          <w:color w:val="000000"/>
          <w:kern w:val="0"/>
          <w:sz w:val="36"/>
          <w:szCs w:val="36"/>
          <w:u w:val="none"/>
          <w:lang w:val="en-US" w:eastAsia="zh-CN" w:bidi="ar"/>
        </w:rPr>
      </w:pPr>
      <w:r>
        <w:rPr>
          <w:rFonts w:hint="default" w:ascii="Times New Roman" w:hAnsi="Times New Roman" w:eastAsia="宋体" w:cs="Times New Roman"/>
          <w:b w:val="0"/>
          <w:bCs w:val="0"/>
          <w:i w:val="0"/>
          <w:iCs w:val="0"/>
          <w:color w:val="000000"/>
          <w:kern w:val="0"/>
          <w:sz w:val="32"/>
          <w:szCs w:val="32"/>
          <w:u w:val="none"/>
          <w:lang w:val="en-US" w:eastAsia="zh-CN" w:bidi="ar"/>
        </w:rPr>
        <w:t>附件</w:t>
      </w:r>
      <w:r>
        <w:rPr>
          <w:rFonts w:hint="eastAsia" w:ascii="Times New Roman" w:hAnsi="Times New Roman" w:eastAsia="宋体" w:cs="Times New Roman"/>
          <w:b w:val="0"/>
          <w:bCs w:val="0"/>
          <w:i w:val="0"/>
          <w:iCs w:val="0"/>
          <w:color w:val="000000"/>
          <w:kern w:val="0"/>
          <w:sz w:val="32"/>
          <w:szCs w:val="32"/>
          <w:u w:val="none"/>
          <w:lang w:val="en-US" w:eastAsia="zh-CN" w:bidi="ar"/>
        </w:rPr>
        <w:t>1</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480" w:lineRule="auto"/>
        <w:jc w:val="center"/>
        <w:textAlignment w:val="auto"/>
        <w:rPr>
          <w:rFonts w:hint="eastAsia" w:ascii="Times New Roman" w:hAnsi="Times New Roman" w:eastAsia="仿宋_GB2312" w:cs="Times New Roman"/>
          <w:b/>
          <w:bCs/>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（佛山市第二人民医院）口腔种植基本情况表</w:t>
      </w:r>
    </w:p>
    <w:p>
      <w:pPr>
        <w:pStyle w:val="2"/>
        <w:rPr>
          <w:rFonts w:hint="default"/>
          <w:sz w:val="22"/>
          <w:szCs w:val="22"/>
          <w:lang w:val="en-US" w:eastAsia="zh-CN"/>
        </w:rPr>
      </w:pPr>
      <w:r>
        <w:rPr>
          <w:rFonts w:hint="eastAsia"/>
          <w:sz w:val="22"/>
          <w:szCs w:val="22"/>
          <w:lang w:val="en-US" w:eastAsia="zh-CN"/>
        </w:rPr>
        <w:t>填报单位名称（加盖单位公章）：佛山市第二人民医院      所属行政区：（佛山市禅城区）        填报联系人及联系方式：杜兵13929953576</w:t>
      </w:r>
    </w:p>
    <w:tbl>
      <w:tblPr>
        <w:tblStyle w:val="3"/>
        <w:tblW w:w="16133" w:type="dxa"/>
        <w:tblInd w:w="-9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3"/>
        <w:gridCol w:w="1723"/>
        <w:gridCol w:w="1814"/>
        <w:gridCol w:w="1603"/>
        <w:gridCol w:w="1445"/>
        <w:gridCol w:w="1893"/>
        <w:gridCol w:w="1570"/>
        <w:gridCol w:w="1629"/>
        <w:gridCol w:w="1764"/>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8" w:hRule="atLeast"/>
        </w:trPr>
        <w:tc>
          <w:tcPr>
            <w:tcW w:w="1613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一、连续三年开展口腔种植手术服务情况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8"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时间</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lang w:val="en-US" w:eastAsia="zh-CN" w:bidi="ar"/>
              </w:rPr>
              <w:t>常规种植例数（例）</w:t>
            </w:r>
            <w:r>
              <w:rPr>
                <w:rFonts w:hint="eastAsia" w:ascii="宋体" w:hAnsi="宋体" w:eastAsia="宋体" w:cs="宋体"/>
                <w:i w:val="0"/>
                <w:iCs w:val="0"/>
                <w:color w:val="000000"/>
                <w:kern w:val="0"/>
                <w:sz w:val="22"/>
                <w:szCs w:val="22"/>
                <w:u w:val="none"/>
                <w:lang w:val="en-US" w:eastAsia="zh-CN" w:bidi="ar"/>
              </w:rPr>
              <w:t>（按患者成功植入病例数统计）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lang w:val="en-US" w:eastAsia="zh-CN" w:bidi="ar"/>
              </w:rPr>
              <w:t>口腔颌面复杂种植</w:t>
            </w:r>
            <w:r>
              <w:rPr>
                <w:rStyle w:val="6"/>
                <w:lang w:val="en-US" w:eastAsia="zh-CN" w:bidi="ar"/>
              </w:rPr>
              <w:t>①</w:t>
            </w:r>
            <w:r>
              <w:rPr>
                <w:rStyle w:val="5"/>
                <w:lang w:val="en-US" w:eastAsia="zh-CN" w:bidi="ar"/>
              </w:rPr>
              <w:t>例数（例）</w:t>
            </w:r>
            <w:r>
              <w:rPr>
                <w:rFonts w:hint="eastAsia" w:ascii="宋体" w:hAnsi="宋体" w:eastAsia="宋体" w:cs="宋体"/>
                <w:i w:val="0"/>
                <w:iCs w:val="0"/>
                <w:color w:val="000000"/>
                <w:kern w:val="0"/>
                <w:sz w:val="22"/>
                <w:szCs w:val="22"/>
                <w:u w:val="none"/>
                <w:lang w:val="en-US" w:eastAsia="zh-CN" w:bidi="ar"/>
              </w:rPr>
              <w:t>（按患者成功植入病例数统计）</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全年累计种植体数量（颗）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lang w:val="en-US" w:eastAsia="zh-CN" w:bidi="ar"/>
              </w:rPr>
              <w:t>术间存留率</w:t>
            </w:r>
            <w:r>
              <w:rPr>
                <w:rStyle w:val="6"/>
                <w:lang w:val="en-US" w:eastAsia="zh-CN" w:bidi="ar"/>
              </w:rPr>
              <w:t>②</w:t>
            </w:r>
            <w:r>
              <w:rPr>
                <w:rStyle w:val="5"/>
                <w:lang w:val="en-US" w:eastAsia="zh-CN" w:bidi="ar"/>
              </w:rPr>
              <w:t>（%）</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lang w:val="en-US" w:eastAsia="zh-CN" w:bidi="ar"/>
              </w:rPr>
              <w:t>种植后一年内成功持续存留率</w:t>
            </w:r>
            <w:r>
              <w:rPr>
                <w:rStyle w:val="6"/>
                <w:lang w:val="en-US" w:eastAsia="zh-CN" w:bidi="ar"/>
              </w:rPr>
              <w:t>③</w:t>
            </w:r>
            <w:r>
              <w:rPr>
                <w:rStyle w:val="5"/>
                <w:lang w:val="en-US" w:eastAsia="zh-CN"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lang w:val="en-US" w:eastAsia="zh-CN" w:bidi="ar"/>
              </w:rPr>
              <w:t>医疗人员稳定持续性</w:t>
            </w:r>
            <w:r>
              <w:rPr>
                <w:rStyle w:val="6"/>
                <w:lang w:val="en-US" w:eastAsia="zh-CN" w:bidi="ar"/>
              </w:rPr>
              <w:t>④</w:t>
            </w:r>
            <w:r>
              <w:rPr>
                <w:rStyle w:val="5"/>
                <w:lang w:val="en-US" w:eastAsia="zh-CN"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种植牙牙椅数量（把）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副高级及以上职称口腔种植专职医师占比</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口腔种植</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专科医护比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0" w:name="_GoBack" w:colFirst="6" w:colLast="6"/>
            <w:r>
              <w:rPr>
                <w:rFonts w:hint="eastAsia" w:ascii="宋体" w:hAnsi="宋体" w:eastAsia="宋体" w:cs="宋体"/>
                <w:b/>
                <w:bCs/>
                <w:i w:val="0"/>
                <w:iCs w:val="0"/>
                <w:color w:val="000000"/>
                <w:kern w:val="0"/>
                <w:sz w:val="22"/>
                <w:szCs w:val="22"/>
                <w:u w:val="none"/>
                <w:lang w:val="en-US" w:eastAsia="zh-CN" w:bidi="ar"/>
              </w:rPr>
              <w:t>2019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46</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98.29%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33</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98.92%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17</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99.09%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23.53%</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98.77%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24.51%</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8.09%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1:0.5</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613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二、种植后成功持续存留1年、5年、10年的数量（2012年1月1日-2021年12月31日）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种植后成功持续存留一年的数量（颗）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3855</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种植后成功持续存留五年的数量（颗）</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3778</w:t>
            </w:r>
          </w:p>
        </w:tc>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种植后成功持续存留十年的数量（颗）</w:t>
            </w:r>
          </w:p>
        </w:tc>
        <w:tc>
          <w:tcPr>
            <w:tcW w:w="33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3589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613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5"/>
                <w:lang w:val="en-US" w:eastAsia="zh-CN" w:bidi="ar"/>
              </w:rPr>
              <w:t>三、口腔种植专职医师近五年省级及以上科研项目获奖数量</w:t>
            </w:r>
            <w:r>
              <w:rPr>
                <w:rStyle w:val="6"/>
                <w:lang w:val="en-US" w:eastAsia="zh-CN" w:bidi="ar"/>
              </w:rPr>
              <w:t>⑤</w:t>
            </w:r>
            <w:r>
              <w:rPr>
                <w:rStyle w:val="5"/>
                <w:lang w:val="en-US" w:eastAsia="zh-CN" w:bidi="ar"/>
              </w:rPr>
              <w:t>（2017年1月1日-2021年12月31日）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获奖日期</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获奖名称</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项目主要负责人</w:t>
            </w:r>
          </w:p>
        </w:tc>
        <w:tc>
          <w:tcPr>
            <w:tcW w:w="50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省级/国家级奖项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无</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50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50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50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bl>
    <w:p>
      <w:pPr>
        <w:pStyle w:val="2"/>
        <w:rPr>
          <w:rFonts w:hint="default" w:ascii="宋体" w:hAnsi="宋体" w:eastAsia="宋体" w:cs="宋体"/>
          <w:b/>
          <w:bCs/>
          <w:i w:val="0"/>
          <w:iCs w:val="0"/>
          <w:color w:val="000000"/>
          <w:kern w:val="0"/>
          <w:sz w:val="36"/>
          <w:szCs w:val="36"/>
          <w:u w:val="none"/>
          <w:lang w:val="en-US" w:eastAsia="zh-CN" w:bidi="ar"/>
        </w:rPr>
        <w:sectPr>
          <w:pgSz w:w="16838" w:h="11906" w:orient="landscape"/>
          <w:pgMar w:top="1800" w:right="1440" w:bottom="1800" w:left="1440" w:header="851" w:footer="992" w:gutter="0"/>
          <w:pgNumType w:fmt="numberInDash"/>
          <w:cols w:space="425" w:num="1"/>
          <w:docGrid w:type="lines" w:linePitch="312" w:charSpace="0"/>
        </w:sectPr>
      </w:pPr>
    </w:p>
    <w:p>
      <w:pPr>
        <w:pStyle w:val="2"/>
        <w:numPr>
          <w:ilvl w:val="0"/>
          <w:numId w:val="0"/>
        </w:numP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填报说明： </w:t>
      </w:r>
    </w:p>
    <w:p>
      <w:pPr>
        <w:pStyle w:val="2"/>
        <w:numPr>
          <w:ilvl w:val="0"/>
          <w:numId w:val="0"/>
        </w:numP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①口腔颌面复杂种植技术：是指需通过特殊外科技术处理方可进行种植体植入和修复的种植技术，外科手术方法在口腔和颌面部植入人工种植体，进而在种植体上进行有关牙列缺损、缺失或颌面部器官缺损缺失修复的技术</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 xml:space="preserve">    </w:t>
      </w:r>
    </w:p>
    <w:p>
      <w:pPr>
        <w:pStyle w:val="2"/>
        <w:numPr>
          <w:ilvl w:val="0"/>
          <w:numId w:val="0"/>
        </w:numPr>
        <w:ind w:firstLine="320" w:firstLineChars="1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②术间存留率是牙冠置入前未发生松动、脱落等，不影响牙冠置入的种植体数量／同期种植数量×100％。（参考来源：《关于开展口腔种植医疗服务收费和耗材价格专项治理的通知》＜附件《允许放宽医疗服务价格整体调控目标的若干情形》＞（医保发（2022）27号）；</w:t>
      </w:r>
    </w:p>
    <w:p>
      <w:pPr>
        <w:pStyle w:val="2"/>
        <w:numPr>
          <w:ilvl w:val="0"/>
          <w:numId w:val="0"/>
        </w:numP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③持续存留率是指种植后1年内种植体无动度，影像学检查显示种植体周围无透射区，种植体及关联区域无持续性或不可逆的疼痛、感染、麻木、坏死、损伤、感觉异样等症状的种植体数量／同期种植数量×100％。（参考来源：《关于开展口腔种植医疗服务收费和耗材价格专项治理的通知》＜附件《允许放宽医疗服务价格整体调控目标的若干情形》＞（医保发（2022）27号）；</w:t>
      </w:r>
    </w:p>
    <w:p>
      <w:pPr>
        <w:pStyle w:val="2"/>
        <w:numPr>
          <w:ilvl w:val="0"/>
          <w:numId w:val="0"/>
        </w:numP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④医疗人员稳定持续性（率）：在该医疗机构持续工作年限≥3年的种植相关医师数量／全机构医师人员数量×100％。医疗机构提供现有所有在职医师的工作年限信息。</w:t>
      </w:r>
    </w:p>
    <w:p>
      <w:pPr>
        <w:pStyle w:val="2"/>
        <w:numPr>
          <w:ilvl w:val="0"/>
          <w:numId w:val="0"/>
        </w:numP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⑤科研贡献纳入内容应为口腔种植技术相关省级及以上奖项。</w:t>
      </w:r>
    </w:p>
    <w:p>
      <w:pPr>
        <w:pStyle w:val="2"/>
        <w:numPr>
          <w:ilvl w:val="0"/>
          <w:numId w:val="0"/>
        </w:numPr>
        <w:rPr>
          <w:rFonts w:hint="eastAsia" w:ascii="Times New Roman" w:hAnsi="Times New Roman" w:eastAsia="仿宋_GB2312" w:cs="Times New Roman"/>
          <w:color w:val="auto"/>
          <w:kern w:val="2"/>
          <w:sz w:val="32"/>
          <w:szCs w:val="32"/>
          <w:lang w:val="en-US" w:eastAsia="zh-CN" w:bidi="ar-SA"/>
        </w:rPr>
      </w:pPr>
    </w:p>
    <w:p>
      <w:pPr>
        <w:pStyle w:val="2"/>
        <w:numPr>
          <w:ilvl w:val="0"/>
          <w:numId w:val="0"/>
        </w:numPr>
        <w:rPr>
          <w:rFonts w:hint="eastAsia" w:ascii="Times New Roman" w:hAnsi="Times New Roman" w:eastAsia="仿宋_GB2312" w:cs="Times New Roman"/>
          <w:color w:val="auto"/>
          <w:kern w:val="2"/>
          <w:sz w:val="32"/>
          <w:szCs w:val="32"/>
          <w:lang w:val="en-US" w:eastAsia="zh-CN" w:bidi="ar-S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NDY0MzQxYjEyNTVjZmQ0NGZlMTE5ZjUyMzM3MjIifQ=="/>
  </w:docVars>
  <w:rsids>
    <w:rsidRoot w:val="759F4D86"/>
    <w:rsid w:val="0B4D18E2"/>
    <w:rsid w:val="0CD1694B"/>
    <w:rsid w:val="14C8470C"/>
    <w:rsid w:val="1A5F002D"/>
    <w:rsid w:val="1AE87493"/>
    <w:rsid w:val="1CEE703A"/>
    <w:rsid w:val="2A331126"/>
    <w:rsid w:val="2B575EF3"/>
    <w:rsid w:val="33802506"/>
    <w:rsid w:val="36672CB0"/>
    <w:rsid w:val="3A7876ED"/>
    <w:rsid w:val="3D52727A"/>
    <w:rsid w:val="3E8135D7"/>
    <w:rsid w:val="47140296"/>
    <w:rsid w:val="47D05559"/>
    <w:rsid w:val="49240453"/>
    <w:rsid w:val="4BC82845"/>
    <w:rsid w:val="52685A45"/>
    <w:rsid w:val="5279692A"/>
    <w:rsid w:val="59BF606B"/>
    <w:rsid w:val="5FE10357"/>
    <w:rsid w:val="71EC2BF4"/>
    <w:rsid w:val="759F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character" w:customStyle="1" w:styleId="5">
    <w:name w:val="font11"/>
    <w:basedOn w:val="4"/>
    <w:qFormat/>
    <w:uiPriority w:val="0"/>
    <w:rPr>
      <w:rFonts w:hint="eastAsia" w:ascii="宋体" w:hAnsi="宋体" w:eastAsia="宋体" w:cs="宋体"/>
      <w:b/>
      <w:bCs/>
      <w:color w:val="000000"/>
      <w:sz w:val="22"/>
      <w:szCs w:val="22"/>
      <w:u w:val="none"/>
    </w:rPr>
  </w:style>
  <w:style w:type="character" w:customStyle="1" w:styleId="6">
    <w:name w:val="font21"/>
    <w:basedOn w:val="4"/>
    <w:qFormat/>
    <w:uiPriority w:val="0"/>
    <w:rPr>
      <w:rFonts w:ascii="微软雅黑" w:hAnsi="微软雅黑" w:eastAsia="微软雅黑" w:cs="微软雅黑"/>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909</Words>
  <Characters>1063</Characters>
  <Lines>0</Lines>
  <Paragraphs>0</Paragraphs>
  <TotalTime>0</TotalTime>
  <ScaleCrop>false</ScaleCrop>
  <LinksUpToDate>false</LinksUpToDate>
  <CharactersWithSpaces>1127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2022-12-21T06:56:00Z</dcterms:created>
  <dc:creator>wen_wen</dc:creator>
  <cp:lastModifiedBy>db2admin</cp:lastModifiedBy>
  <cp:lastPrinted>2022-12-28T07:15:00Z</cp:lastPrinted>
  <dcterms:modified xsi:type="dcterms:W3CDTF">2022-12-30T00:18:50Z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0FDBFD9A166A472DAE354FF2E014C774</vt:lpwstr>
  </property>
</Properties>
</file>